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8A4BF5" w14:textId="5971109E" w:rsidR="00E8423F" w:rsidRDefault="00E8423F" w:rsidP="00C2771B"/>
    <w:p w14:paraId="619762DA" w14:textId="7EEC8439" w:rsidR="00C2771B" w:rsidRDefault="00C2771B" w:rsidP="00C2771B">
      <w:pPr>
        <w:rPr>
          <w:rFonts w:ascii="Tahoma" w:hAnsi="Tahoma" w:cs="Tahoma"/>
        </w:rPr>
      </w:pPr>
      <w:r w:rsidRPr="00C2771B">
        <w:rPr>
          <w:rFonts w:ascii="Tahoma" w:hAnsi="Tahoma" w:cs="Tahoma"/>
        </w:rPr>
        <w:t xml:space="preserve">Bucaramanga, </w:t>
      </w:r>
      <w:r w:rsidR="005C34C9">
        <w:rPr>
          <w:rFonts w:ascii="Tahoma" w:hAnsi="Tahoma" w:cs="Tahoma"/>
        </w:rPr>
        <w:t>2</w:t>
      </w:r>
      <w:r w:rsidR="003F5FBA">
        <w:rPr>
          <w:rFonts w:ascii="Tahoma" w:hAnsi="Tahoma" w:cs="Tahoma"/>
        </w:rPr>
        <w:t>3</w:t>
      </w:r>
      <w:r w:rsidRPr="00C2771B">
        <w:rPr>
          <w:rFonts w:ascii="Tahoma" w:hAnsi="Tahoma" w:cs="Tahoma"/>
        </w:rPr>
        <w:t xml:space="preserve"> de Octubre de 2019</w:t>
      </w:r>
    </w:p>
    <w:p w14:paraId="3031B414" w14:textId="7DD62FB0" w:rsidR="00C2771B" w:rsidRDefault="00C2771B" w:rsidP="00C2771B">
      <w:pPr>
        <w:rPr>
          <w:rFonts w:ascii="Tahoma" w:hAnsi="Tahoma" w:cs="Tahoma"/>
        </w:rPr>
      </w:pPr>
    </w:p>
    <w:p w14:paraId="1CF07DA2" w14:textId="51106BB8" w:rsidR="00C2771B" w:rsidRDefault="00C2771B" w:rsidP="00C2771B">
      <w:pPr>
        <w:rPr>
          <w:rFonts w:ascii="Tahoma" w:hAnsi="Tahoma" w:cs="Tahoma"/>
        </w:rPr>
      </w:pPr>
    </w:p>
    <w:p w14:paraId="78B7E306" w14:textId="29B7A3D3" w:rsidR="00C2771B" w:rsidRDefault="00C2771B" w:rsidP="00C2771B">
      <w:pPr>
        <w:rPr>
          <w:rFonts w:ascii="Tahoma" w:hAnsi="Tahoma" w:cs="Tahoma"/>
        </w:rPr>
      </w:pPr>
      <w:r>
        <w:rPr>
          <w:rFonts w:ascii="Tahoma" w:hAnsi="Tahoma" w:cs="Tahoma"/>
        </w:rPr>
        <w:t>Doctora</w:t>
      </w:r>
    </w:p>
    <w:p w14:paraId="0514A561" w14:textId="1478F176" w:rsidR="00C2771B" w:rsidRPr="0057217F" w:rsidRDefault="0057217F" w:rsidP="00C2771B">
      <w:pPr>
        <w:rPr>
          <w:rFonts w:ascii="Tahoma" w:hAnsi="Tahoma" w:cs="Tahoma"/>
          <w:b/>
          <w:bCs/>
        </w:rPr>
      </w:pPr>
      <w:r w:rsidRPr="0057217F">
        <w:rPr>
          <w:rFonts w:ascii="Tahoma" w:hAnsi="Tahoma" w:cs="Tahoma"/>
          <w:b/>
          <w:bCs/>
        </w:rPr>
        <w:t>Deisy</w:t>
      </w:r>
      <w:r w:rsidR="00C2771B" w:rsidRPr="0057217F">
        <w:rPr>
          <w:rFonts w:ascii="Tahoma" w:hAnsi="Tahoma" w:cs="Tahoma"/>
          <w:b/>
          <w:bCs/>
        </w:rPr>
        <w:t xml:space="preserve"> Hernández Gama</w:t>
      </w:r>
    </w:p>
    <w:p w14:paraId="2F4AC52E" w14:textId="77777777" w:rsidR="0057217F" w:rsidRDefault="00C2771B" w:rsidP="00C2771B">
      <w:pPr>
        <w:rPr>
          <w:rFonts w:ascii="Tahoma" w:hAnsi="Tahoma" w:cs="Tahoma"/>
        </w:rPr>
      </w:pPr>
      <w:r>
        <w:rPr>
          <w:rFonts w:ascii="Tahoma" w:hAnsi="Tahoma" w:cs="Tahoma"/>
        </w:rPr>
        <w:t>Subdirectora Técnica</w:t>
      </w:r>
    </w:p>
    <w:p w14:paraId="2370235E" w14:textId="7F641A81" w:rsidR="00C2771B" w:rsidRDefault="0057217F" w:rsidP="00C2771B">
      <w:pPr>
        <w:rPr>
          <w:rFonts w:ascii="Tahoma" w:hAnsi="Tahoma" w:cs="Tahoma"/>
        </w:rPr>
      </w:pPr>
      <w:r>
        <w:rPr>
          <w:rFonts w:ascii="Tahoma" w:hAnsi="Tahoma" w:cs="Tahoma"/>
        </w:rPr>
        <w:t>Instituto Municipal de Empleo y Fomento Empresarial de Bucaramanga</w:t>
      </w:r>
    </w:p>
    <w:p w14:paraId="61699F51" w14:textId="2C11C61C" w:rsidR="00C2771B" w:rsidRDefault="00C2771B" w:rsidP="00C2771B">
      <w:pPr>
        <w:rPr>
          <w:rFonts w:ascii="Tahoma" w:hAnsi="Tahoma" w:cs="Tahoma"/>
        </w:rPr>
      </w:pPr>
    </w:p>
    <w:p w14:paraId="34630667" w14:textId="70FDA03E" w:rsidR="00C2771B" w:rsidRDefault="00C2771B" w:rsidP="00C2771B">
      <w:pPr>
        <w:rPr>
          <w:rFonts w:ascii="Tahoma" w:hAnsi="Tahoma" w:cs="Tahoma"/>
        </w:rPr>
      </w:pPr>
      <w:r w:rsidRPr="00C2771B">
        <w:rPr>
          <w:rFonts w:ascii="Tahoma" w:hAnsi="Tahoma" w:cs="Tahoma"/>
          <w:b/>
          <w:bCs/>
        </w:rPr>
        <w:t>REF:</w:t>
      </w:r>
      <w:r>
        <w:rPr>
          <w:rFonts w:ascii="Tahoma" w:hAnsi="Tahoma" w:cs="Tahoma"/>
        </w:rPr>
        <w:t xml:space="preserve"> Informe de Observaciones auditoria de la Oficina de Control Interno</w:t>
      </w:r>
    </w:p>
    <w:p w14:paraId="673E1668" w14:textId="53EE933C" w:rsidR="00C2771B" w:rsidRDefault="00C2771B" w:rsidP="00C2771B">
      <w:pPr>
        <w:rPr>
          <w:rFonts w:ascii="Tahoma" w:hAnsi="Tahoma" w:cs="Tahoma"/>
        </w:rPr>
      </w:pPr>
    </w:p>
    <w:p w14:paraId="02933D84" w14:textId="33D3FDC8" w:rsidR="00C2771B" w:rsidRDefault="00C2771B" w:rsidP="00C2771B">
      <w:pPr>
        <w:jc w:val="both"/>
        <w:rPr>
          <w:rFonts w:ascii="Tahoma" w:hAnsi="Tahoma" w:cs="Tahoma"/>
        </w:rPr>
      </w:pPr>
      <w:r>
        <w:rPr>
          <w:rFonts w:ascii="Tahoma" w:hAnsi="Tahoma" w:cs="Tahoma"/>
        </w:rPr>
        <w:t xml:space="preserve">La oficina de control interno en el cumplimiento del cronograma de las </w:t>
      </w:r>
      <w:r w:rsidR="00B714D3">
        <w:rPr>
          <w:rFonts w:ascii="Tahoma" w:hAnsi="Tahoma" w:cs="Tahoma"/>
        </w:rPr>
        <w:t>actividades de auditoria aprobados</w:t>
      </w:r>
      <w:r>
        <w:rPr>
          <w:rFonts w:ascii="Tahoma" w:hAnsi="Tahoma" w:cs="Tahoma"/>
        </w:rPr>
        <w:t xml:space="preserve"> en el CICI; se permite presentar las observaciones que evidencio en la realización de la auditoria a la Subdirección Técnica durante los meses </w:t>
      </w:r>
      <w:r w:rsidR="00B47007">
        <w:rPr>
          <w:rFonts w:ascii="Tahoma" w:hAnsi="Tahoma" w:cs="Tahoma"/>
        </w:rPr>
        <w:t xml:space="preserve">de </w:t>
      </w:r>
      <w:r w:rsidR="00112AE3">
        <w:rPr>
          <w:rFonts w:ascii="Tahoma" w:hAnsi="Tahoma" w:cs="Tahoma"/>
        </w:rPr>
        <w:t>a</w:t>
      </w:r>
      <w:r w:rsidR="00B47007">
        <w:rPr>
          <w:rFonts w:ascii="Tahoma" w:hAnsi="Tahoma" w:cs="Tahoma"/>
        </w:rPr>
        <w:t>gosto</w:t>
      </w:r>
      <w:r>
        <w:rPr>
          <w:rFonts w:ascii="Tahoma" w:hAnsi="Tahoma" w:cs="Tahoma"/>
        </w:rPr>
        <w:t>, septiembre y parte del mes de Octubre de 2019</w:t>
      </w:r>
      <w:r w:rsidR="00B47007">
        <w:rPr>
          <w:rFonts w:ascii="Tahoma" w:hAnsi="Tahoma" w:cs="Tahoma"/>
        </w:rPr>
        <w:t>.</w:t>
      </w:r>
    </w:p>
    <w:p w14:paraId="3DEF0290" w14:textId="15421160" w:rsidR="00B714D3" w:rsidRDefault="00B714D3" w:rsidP="00C2771B">
      <w:pPr>
        <w:jc w:val="both"/>
        <w:rPr>
          <w:rFonts w:ascii="Tahoma" w:hAnsi="Tahoma" w:cs="Tahoma"/>
        </w:rPr>
      </w:pPr>
    </w:p>
    <w:p w14:paraId="22A15928" w14:textId="03138B86" w:rsidR="00B714D3" w:rsidRDefault="00B714D3" w:rsidP="00C2771B">
      <w:pPr>
        <w:jc w:val="both"/>
        <w:rPr>
          <w:rFonts w:ascii="Tahoma" w:hAnsi="Tahoma" w:cs="Tahoma"/>
        </w:rPr>
      </w:pPr>
      <w:r>
        <w:rPr>
          <w:rFonts w:ascii="Tahoma" w:hAnsi="Tahoma" w:cs="Tahoma"/>
        </w:rPr>
        <w:t>Las líneas auditadas a esta subgerencia fueron</w:t>
      </w:r>
    </w:p>
    <w:p w14:paraId="1FDC5325" w14:textId="40A6DDC6" w:rsidR="00B714D3" w:rsidRPr="00255E6F" w:rsidRDefault="00255E6F" w:rsidP="00255E6F">
      <w:pPr>
        <w:pStyle w:val="Prrafodelista"/>
        <w:numPr>
          <w:ilvl w:val="0"/>
          <w:numId w:val="19"/>
        </w:numPr>
        <w:jc w:val="both"/>
        <w:rPr>
          <w:rFonts w:ascii="Tahoma" w:hAnsi="Tahoma" w:cs="Tahoma"/>
        </w:rPr>
      </w:pPr>
      <w:r w:rsidRPr="00255E6F">
        <w:rPr>
          <w:rFonts w:ascii="Tahoma" w:hAnsi="Tahoma" w:cs="Tahoma"/>
        </w:rPr>
        <w:t>Plan de Mejoramiento 2018 - 2019</w:t>
      </w:r>
    </w:p>
    <w:p w14:paraId="452B38CA" w14:textId="45697304" w:rsidR="00B714D3" w:rsidRPr="00B714D3" w:rsidRDefault="00B714D3" w:rsidP="00B714D3">
      <w:pPr>
        <w:pStyle w:val="Prrafodelista"/>
        <w:numPr>
          <w:ilvl w:val="0"/>
          <w:numId w:val="18"/>
        </w:numPr>
        <w:jc w:val="both"/>
        <w:rPr>
          <w:rFonts w:ascii="Tahoma" w:hAnsi="Tahoma" w:cs="Tahoma"/>
        </w:rPr>
      </w:pPr>
      <w:r w:rsidRPr="00B714D3">
        <w:rPr>
          <w:rFonts w:ascii="Tahoma" w:hAnsi="Tahoma" w:cs="Tahoma"/>
        </w:rPr>
        <w:t xml:space="preserve">Contratos de Prestación de Servicios </w:t>
      </w:r>
    </w:p>
    <w:p w14:paraId="796E3040" w14:textId="22F2D49B" w:rsidR="00B714D3" w:rsidRPr="00B714D3" w:rsidRDefault="00B714D3" w:rsidP="00B714D3">
      <w:pPr>
        <w:pStyle w:val="Prrafodelista"/>
        <w:numPr>
          <w:ilvl w:val="0"/>
          <w:numId w:val="18"/>
        </w:numPr>
        <w:jc w:val="both"/>
        <w:rPr>
          <w:rFonts w:ascii="Tahoma" w:hAnsi="Tahoma" w:cs="Tahoma"/>
        </w:rPr>
      </w:pPr>
      <w:r w:rsidRPr="00B714D3">
        <w:rPr>
          <w:rFonts w:ascii="Tahoma" w:hAnsi="Tahoma" w:cs="Tahoma"/>
        </w:rPr>
        <w:t>Agencia de Empleo</w:t>
      </w:r>
    </w:p>
    <w:p w14:paraId="58D311DA" w14:textId="017B4E10" w:rsidR="00B714D3" w:rsidRPr="00B714D3" w:rsidRDefault="00D547A7" w:rsidP="00B714D3">
      <w:pPr>
        <w:pStyle w:val="Prrafodelista"/>
        <w:numPr>
          <w:ilvl w:val="0"/>
          <w:numId w:val="18"/>
        </w:numPr>
        <w:jc w:val="both"/>
        <w:rPr>
          <w:rFonts w:ascii="Tahoma" w:hAnsi="Tahoma" w:cs="Tahoma"/>
        </w:rPr>
      </w:pPr>
      <w:r>
        <w:rPr>
          <w:rFonts w:ascii="Tahoma" w:hAnsi="Tahoma" w:cs="Tahoma"/>
        </w:rPr>
        <w:t>Banca ciudadana</w:t>
      </w:r>
    </w:p>
    <w:p w14:paraId="0AC2E36E" w14:textId="77777777" w:rsidR="00B714D3" w:rsidRPr="00B714D3" w:rsidRDefault="00B714D3" w:rsidP="00B714D3">
      <w:pPr>
        <w:pStyle w:val="Prrafodelista"/>
        <w:numPr>
          <w:ilvl w:val="0"/>
          <w:numId w:val="18"/>
        </w:numPr>
        <w:jc w:val="both"/>
        <w:rPr>
          <w:rFonts w:ascii="Tahoma" w:hAnsi="Tahoma" w:cs="Tahoma"/>
        </w:rPr>
      </w:pPr>
      <w:r w:rsidRPr="00B714D3">
        <w:rPr>
          <w:rFonts w:ascii="Tahoma" w:hAnsi="Tahoma" w:cs="Tahoma"/>
        </w:rPr>
        <w:t>Cumplimiento del Plan de Desarrollo 2016-2019</w:t>
      </w:r>
    </w:p>
    <w:p w14:paraId="1B98F556" w14:textId="726E5F2D" w:rsidR="00B714D3" w:rsidRDefault="00736BE1" w:rsidP="00B714D3">
      <w:pPr>
        <w:pStyle w:val="Prrafodelista"/>
        <w:numPr>
          <w:ilvl w:val="0"/>
          <w:numId w:val="18"/>
        </w:numPr>
        <w:jc w:val="both"/>
        <w:rPr>
          <w:rFonts w:ascii="Tahoma" w:hAnsi="Tahoma" w:cs="Tahoma"/>
        </w:rPr>
      </w:pPr>
      <w:r>
        <w:rPr>
          <w:rFonts w:ascii="Tahoma" w:hAnsi="Tahoma" w:cs="Tahoma"/>
        </w:rPr>
        <w:t xml:space="preserve">Plan anticorrupción y </w:t>
      </w:r>
      <w:r w:rsidR="00B714D3" w:rsidRPr="00B714D3">
        <w:rPr>
          <w:rFonts w:ascii="Tahoma" w:hAnsi="Tahoma" w:cs="Tahoma"/>
        </w:rPr>
        <w:t>Mapa de riesgo de la entidad</w:t>
      </w:r>
    </w:p>
    <w:p w14:paraId="0F46375D" w14:textId="2C95632E" w:rsidR="00D547A7" w:rsidRDefault="00D547A7" w:rsidP="00B714D3">
      <w:pPr>
        <w:pStyle w:val="Prrafodelista"/>
        <w:numPr>
          <w:ilvl w:val="0"/>
          <w:numId w:val="18"/>
        </w:numPr>
        <w:jc w:val="both"/>
        <w:rPr>
          <w:rFonts w:ascii="Tahoma" w:hAnsi="Tahoma" w:cs="Tahoma"/>
        </w:rPr>
      </w:pPr>
      <w:r>
        <w:rPr>
          <w:rFonts w:ascii="Tahoma" w:hAnsi="Tahoma" w:cs="Tahoma"/>
        </w:rPr>
        <w:t>Empresa madre</w:t>
      </w:r>
    </w:p>
    <w:p w14:paraId="7A0AA656" w14:textId="7492A2CA" w:rsidR="00D547A7" w:rsidRDefault="00D547A7" w:rsidP="00B714D3">
      <w:pPr>
        <w:pStyle w:val="Prrafodelista"/>
        <w:numPr>
          <w:ilvl w:val="0"/>
          <w:numId w:val="18"/>
        </w:numPr>
        <w:jc w:val="both"/>
        <w:rPr>
          <w:rFonts w:ascii="Tahoma" w:hAnsi="Tahoma" w:cs="Tahoma"/>
        </w:rPr>
      </w:pPr>
      <w:r>
        <w:rPr>
          <w:rFonts w:ascii="Tahoma" w:hAnsi="Tahoma" w:cs="Tahoma"/>
        </w:rPr>
        <w:t>Progresa</w:t>
      </w:r>
    </w:p>
    <w:p w14:paraId="387C1193" w14:textId="60530864" w:rsidR="00604DC0" w:rsidRDefault="00604DC0" w:rsidP="00B714D3">
      <w:pPr>
        <w:pStyle w:val="Prrafodelista"/>
        <w:numPr>
          <w:ilvl w:val="0"/>
          <w:numId w:val="18"/>
        </w:numPr>
        <w:jc w:val="both"/>
        <w:rPr>
          <w:rFonts w:ascii="Tahoma" w:hAnsi="Tahoma" w:cs="Tahoma"/>
        </w:rPr>
      </w:pPr>
      <w:r>
        <w:rPr>
          <w:rFonts w:ascii="Tahoma" w:hAnsi="Tahoma" w:cs="Tahoma"/>
        </w:rPr>
        <w:t>Macroprocesos</w:t>
      </w:r>
    </w:p>
    <w:p w14:paraId="05E54CC1" w14:textId="48BE3A2B" w:rsidR="00B86570" w:rsidRDefault="00B86570" w:rsidP="00B86570">
      <w:pPr>
        <w:jc w:val="both"/>
        <w:rPr>
          <w:rFonts w:ascii="Tahoma" w:hAnsi="Tahoma" w:cs="Tahoma"/>
        </w:rPr>
      </w:pPr>
    </w:p>
    <w:p w14:paraId="6CF31E65" w14:textId="0A267B44" w:rsidR="00255E6F" w:rsidRPr="00255E6F" w:rsidRDefault="00255E6F" w:rsidP="00B86570">
      <w:pPr>
        <w:jc w:val="both"/>
        <w:rPr>
          <w:rFonts w:ascii="Tahoma" w:hAnsi="Tahoma" w:cs="Tahoma"/>
          <w:b/>
          <w:bCs/>
          <w:i/>
          <w:iCs/>
        </w:rPr>
      </w:pPr>
      <w:r w:rsidRPr="00255E6F">
        <w:rPr>
          <w:rFonts w:ascii="Tahoma" w:hAnsi="Tahoma" w:cs="Tahoma"/>
          <w:b/>
          <w:bCs/>
          <w:i/>
          <w:iCs/>
        </w:rPr>
        <w:t>Plan de Mejoramiento 2018 - 2019</w:t>
      </w:r>
    </w:p>
    <w:p w14:paraId="0A989939" w14:textId="0153876B" w:rsidR="00255E6F" w:rsidRDefault="00255E6F" w:rsidP="00B86570">
      <w:pPr>
        <w:jc w:val="both"/>
        <w:rPr>
          <w:rFonts w:ascii="Tahoma" w:hAnsi="Tahoma" w:cs="Tahoma"/>
        </w:rPr>
      </w:pPr>
    </w:p>
    <w:p w14:paraId="6407F9F4" w14:textId="329F6DF9" w:rsidR="00452AE1" w:rsidRDefault="00FC6044" w:rsidP="00B86570">
      <w:pPr>
        <w:jc w:val="both"/>
        <w:rPr>
          <w:rFonts w:ascii="Tahoma" w:hAnsi="Tahoma" w:cs="Tahoma"/>
        </w:rPr>
      </w:pPr>
      <w:r>
        <w:rPr>
          <w:rFonts w:ascii="Tahoma" w:hAnsi="Tahoma" w:cs="Tahoma"/>
        </w:rPr>
        <w:t xml:space="preserve">Revisado el plan de mejoramiento 2018 – 2019 por la oficina de control interno con relación </w:t>
      </w:r>
      <w:r w:rsidR="00010855">
        <w:rPr>
          <w:rFonts w:ascii="Tahoma" w:hAnsi="Tahoma" w:cs="Tahoma"/>
        </w:rPr>
        <w:t>a los hallazgos, evidencia</w:t>
      </w:r>
      <w:r w:rsidR="00452AE1">
        <w:rPr>
          <w:rFonts w:ascii="Tahoma" w:hAnsi="Tahoma" w:cs="Tahoma"/>
        </w:rPr>
        <w:t xml:space="preserve">, que en el último hallazgo que corresponde en </w:t>
      </w:r>
      <w:r w:rsidR="00452AE1" w:rsidRPr="00452AE1">
        <w:rPr>
          <w:rFonts w:ascii="Tahoma" w:hAnsi="Tahoma" w:cs="Tahoma"/>
          <w:i/>
          <w:iCs/>
        </w:rPr>
        <w:t>levantar los procedimientos necesarios en el área administrativa y financiera de acuerdo con el MIPG</w:t>
      </w:r>
      <w:r w:rsidR="00452AE1">
        <w:rPr>
          <w:rFonts w:ascii="Tahoma" w:hAnsi="Tahoma" w:cs="Tahoma"/>
        </w:rPr>
        <w:t xml:space="preserve">, por las exigencias del nuevo modelo; la oficina de control interno, no evidencio nuevos procedimientos a esta subgerencia y es motivo de urgencia, ya que se </w:t>
      </w:r>
      <w:r w:rsidR="00450E63">
        <w:rPr>
          <w:rFonts w:ascii="Tahoma" w:hAnsi="Tahoma" w:cs="Tahoma"/>
        </w:rPr>
        <w:t>h</w:t>
      </w:r>
      <w:r w:rsidR="00452AE1">
        <w:rPr>
          <w:rFonts w:ascii="Tahoma" w:hAnsi="Tahoma" w:cs="Tahoma"/>
        </w:rPr>
        <w:t>a evidenciado debilidades en la entrega de la información en sus procesos.</w:t>
      </w:r>
    </w:p>
    <w:p w14:paraId="3985721A" w14:textId="77777777" w:rsidR="00255E6F" w:rsidRDefault="00255E6F" w:rsidP="00B86570">
      <w:pPr>
        <w:jc w:val="both"/>
        <w:rPr>
          <w:rFonts w:ascii="Tahoma" w:hAnsi="Tahoma" w:cs="Tahoma"/>
        </w:rPr>
      </w:pPr>
    </w:p>
    <w:p w14:paraId="44CA5AFA" w14:textId="014144B4" w:rsidR="00B86570" w:rsidRPr="006626F9" w:rsidRDefault="00B86570" w:rsidP="00B86570">
      <w:pPr>
        <w:jc w:val="both"/>
        <w:rPr>
          <w:rFonts w:ascii="Tahoma" w:hAnsi="Tahoma" w:cs="Tahoma"/>
          <w:i/>
          <w:iCs/>
        </w:rPr>
      </w:pPr>
      <w:r w:rsidRPr="006626F9">
        <w:rPr>
          <w:rFonts w:ascii="Tahoma" w:hAnsi="Tahoma" w:cs="Tahoma"/>
          <w:b/>
          <w:bCs/>
          <w:i/>
          <w:iCs/>
        </w:rPr>
        <w:t>Contratos de prestación de servicio</w:t>
      </w:r>
      <w:r w:rsidRPr="006626F9">
        <w:rPr>
          <w:rFonts w:ascii="Tahoma" w:hAnsi="Tahoma" w:cs="Tahoma"/>
          <w:i/>
          <w:iCs/>
        </w:rPr>
        <w:t>s</w:t>
      </w:r>
      <w:r w:rsidR="00255E6F" w:rsidRPr="006626F9">
        <w:rPr>
          <w:rFonts w:ascii="Tahoma" w:hAnsi="Tahoma" w:cs="Tahoma"/>
          <w:i/>
          <w:iCs/>
        </w:rPr>
        <w:t>:</w:t>
      </w:r>
    </w:p>
    <w:p w14:paraId="75433E00" w14:textId="2FAE8C93" w:rsidR="00B86570" w:rsidRDefault="00B86570" w:rsidP="00B86570">
      <w:pPr>
        <w:jc w:val="both"/>
        <w:rPr>
          <w:rFonts w:ascii="Tahoma" w:hAnsi="Tahoma" w:cs="Tahoma"/>
        </w:rPr>
      </w:pPr>
    </w:p>
    <w:p w14:paraId="0066A359" w14:textId="12E583C6" w:rsidR="00452AE1" w:rsidRDefault="00255E6F" w:rsidP="00B86570">
      <w:pPr>
        <w:jc w:val="both"/>
        <w:rPr>
          <w:rFonts w:ascii="Tahoma" w:hAnsi="Tahoma" w:cs="Tahoma"/>
        </w:rPr>
      </w:pPr>
      <w:r>
        <w:rPr>
          <w:rFonts w:ascii="Tahoma" w:hAnsi="Tahoma" w:cs="Tahoma"/>
        </w:rPr>
        <w:t xml:space="preserve">Revisados </w:t>
      </w:r>
      <w:r w:rsidR="007E729F">
        <w:rPr>
          <w:rFonts w:ascii="Tahoma" w:hAnsi="Tahoma" w:cs="Tahoma"/>
        </w:rPr>
        <w:t>el</w:t>
      </w:r>
      <w:r>
        <w:rPr>
          <w:rFonts w:ascii="Tahoma" w:hAnsi="Tahoma" w:cs="Tahoma"/>
        </w:rPr>
        <w:t xml:space="preserve"> CPS No 026 por valor</w:t>
      </w:r>
      <w:r w:rsidR="007E729F">
        <w:rPr>
          <w:rFonts w:ascii="Tahoma" w:hAnsi="Tahoma" w:cs="Tahoma"/>
        </w:rPr>
        <w:t xml:space="preserve"> total de</w:t>
      </w:r>
      <w:r>
        <w:rPr>
          <w:rFonts w:ascii="Tahoma" w:hAnsi="Tahoma" w:cs="Tahoma"/>
        </w:rPr>
        <w:t xml:space="preserve"> $ 19.057.500</w:t>
      </w:r>
      <w:r w:rsidR="001B2DA9">
        <w:rPr>
          <w:rFonts w:ascii="Tahoma" w:hAnsi="Tahoma" w:cs="Tahoma"/>
        </w:rPr>
        <w:t xml:space="preserve">, que tiene por objeto </w:t>
      </w:r>
      <w:r w:rsidR="007E729F" w:rsidRPr="007E729F">
        <w:rPr>
          <w:rFonts w:ascii="Tahoma" w:hAnsi="Tahoma" w:cs="Tahoma"/>
          <w:i/>
          <w:iCs/>
        </w:rPr>
        <w:t>prestar sus servicios profesionales para apoyar el desarrollo de los procesos de planeación de la institución; pagos mensuales por valor de $3.465.000;</w:t>
      </w:r>
      <w:r w:rsidR="007E729F">
        <w:rPr>
          <w:rFonts w:ascii="Tahoma" w:hAnsi="Tahoma" w:cs="Tahoma"/>
        </w:rPr>
        <w:t xml:space="preserve"> la oficina de control interno evidenció</w:t>
      </w:r>
      <w:r w:rsidR="00712A23">
        <w:rPr>
          <w:rFonts w:ascii="Tahoma" w:hAnsi="Tahoma" w:cs="Tahoma"/>
        </w:rPr>
        <w:t>,</w:t>
      </w:r>
      <w:r w:rsidR="007E729F">
        <w:rPr>
          <w:rFonts w:ascii="Tahoma" w:hAnsi="Tahoma" w:cs="Tahoma"/>
        </w:rPr>
        <w:t xml:space="preserve"> que de acuerdo a la solicitud de necesidades de personal </w:t>
      </w:r>
      <w:r w:rsidR="007E729F">
        <w:rPr>
          <w:rFonts w:ascii="Tahoma" w:hAnsi="Tahoma" w:cs="Tahoma"/>
        </w:rPr>
        <w:lastRenderedPageBreak/>
        <w:t>en las obligaciones específicas, ninguna  actividad tienen relación con actividades de planeación; son actividades de apoyo administrativo donde se esperan unos resultados, mas no se relaciona actividades de planeación que conlleve a la institución en el diseño de nuevos proyectos o la presentación de nuevos tareas.</w:t>
      </w:r>
      <w:r>
        <w:rPr>
          <w:rFonts w:ascii="Tahoma" w:hAnsi="Tahoma" w:cs="Tahoma"/>
        </w:rPr>
        <w:t xml:space="preserve"> </w:t>
      </w:r>
    </w:p>
    <w:p w14:paraId="053D32DE" w14:textId="77777777" w:rsidR="00452AE1" w:rsidRDefault="00452AE1" w:rsidP="00B86570">
      <w:pPr>
        <w:jc w:val="both"/>
        <w:rPr>
          <w:rFonts w:ascii="Tahoma" w:hAnsi="Tahoma" w:cs="Tahoma"/>
        </w:rPr>
      </w:pPr>
    </w:p>
    <w:p w14:paraId="56539F92" w14:textId="46FED70B" w:rsidR="00B86570" w:rsidRDefault="006626F9" w:rsidP="00B86570">
      <w:pPr>
        <w:jc w:val="both"/>
        <w:rPr>
          <w:rFonts w:ascii="Tahoma" w:hAnsi="Tahoma" w:cs="Tahoma"/>
        </w:rPr>
      </w:pPr>
      <w:r>
        <w:rPr>
          <w:rFonts w:ascii="Tahoma" w:hAnsi="Tahoma" w:cs="Tahoma"/>
        </w:rPr>
        <w:t xml:space="preserve">Igualmente, las CPS relacionado con empresa madre, adelantaron actividades  </w:t>
      </w:r>
      <w:r w:rsidR="004D132F">
        <w:rPr>
          <w:rFonts w:ascii="Tahoma" w:hAnsi="Tahoma" w:cs="Tahoma"/>
        </w:rPr>
        <w:t xml:space="preserve"> diferentes al cumplimiento del objeto contractual, </w:t>
      </w:r>
      <w:r>
        <w:rPr>
          <w:rFonts w:ascii="Tahoma" w:hAnsi="Tahoma" w:cs="Tahoma"/>
        </w:rPr>
        <w:t>acordadas con la institución</w:t>
      </w:r>
      <w:r w:rsidR="00712A23">
        <w:rPr>
          <w:rFonts w:ascii="Tahoma" w:hAnsi="Tahoma" w:cs="Tahoma"/>
        </w:rPr>
        <w:t>,</w:t>
      </w:r>
      <w:r w:rsidR="004D132F">
        <w:rPr>
          <w:rFonts w:ascii="Tahoma" w:hAnsi="Tahoma" w:cs="Tahoma"/>
        </w:rPr>
        <w:t xml:space="preserve"> relacionadas con</w:t>
      </w:r>
      <w:r>
        <w:rPr>
          <w:rFonts w:ascii="Tahoma" w:hAnsi="Tahoma" w:cs="Tahoma"/>
        </w:rPr>
        <w:t xml:space="preserve"> capital semilla y estos no han arrojado ningún resultado.</w:t>
      </w:r>
    </w:p>
    <w:p w14:paraId="59F8945A" w14:textId="3060203B" w:rsidR="006626F9" w:rsidRDefault="006626F9" w:rsidP="00B86570">
      <w:pPr>
        <w:jc w:val="both"/>
        <w:rPr>
          <w:rFonts w:ascii="Tahoma" w:hAnsi="Tahoma" w:cs="Tahoma"/>
        </w:rPr>
      </w:pPr>
    </w:p>
    <w:p w14:paraId="72C1419C" w14:textId="0530D91D" w:rsidR="006626F9" w:rsidRDefault="006626F9" w:rsidP="00B86570">
      <w:pPr>
        <w:jc w:val="both"/>
        <w:rPr>
          <w:rFonts w:ascii="Tahoma" w:hAnsi="Tahoma" w:cs="Tahoma"/>
          <w:b/>
          <w:bCs/>
          <w:i/>
          <w:iCs/>
        </w:rPr>
      </w:pPr>
      <w:r w:rsidRPr="006626F9">
        <w:rPr>
          <w:rFonts w:ascii="Tahoma" w:hAnsi="Tahoma" w:cs="Tahoma"/>
          <w:b/>
          <w:bCs/>
          <w:i/>
          <w:iCs/>
        </w:rPr>
        <w:t>Agencia de Empleo</w:t>
      </w:r>
      <w:r>
        <w:rPr>
          <w:rFonts w:ascii="Tahoma" w:hAnsi="Tahoma" w:cs="Tahoma"/>
          <w:b/>
          <w:bCs/>
          <w:i/>
          <w:iCs/>
        </w:rPr>
        <w:t>:</w:t>
      </w:r>
    </w:p>
    <w:p w14:paraId="3E05E62E" w14:textId="035C58D8" w:rsidR="006626F9" w:rsidRDefault="006626F9" w:rsidP="00B86570">
      <w:pPr>
        <w:jc w:val="both"/>
        <w:rPr>
          <w:rFonts w:ascii="Tahoma" w:hAnsi="Tahoma" w:cs="Tahoma"/>
          <w:b/>
          <w:bCs/>
          <w:i/>
          <w:iCs/>
        </w:rPr>
      </w:pPr>
    </w:p>
    <w:p w14:paraId="058F214E" w14:textId="0E0A2CD1" w:rsidR="005C34C9" w:rsidRDefault="006626F9" w:rsidP="00B86570">
      <w:pPr>
        <w:jc w:val="both"/>
        <w:rPr>
          <w:rFonts w:ascii="Tahoma" w:hAnsi="Tahoma" w:cs="Tahoma"/>
        </w:rPr>
      </w:pPr>
      <w:r w:rsidRPr="006626F9">
        <w:rPr>
          <w:rFonts w:ascii="Tahoma" w:hAnsi="Tahoma" w:cs="Tahoma"/>
        </w:rPr>
        <w:t xml:space="preserve">La oficina de control interno evidencio el proceso de </w:t>
      </w:r>
      <w:r w:rsidR="00D861CF">
        <w:rPr>
          <w:rFonts w:ascii="Tahoma" w:hAnsi="Tahoma" w:cs="Tahoma"/>
        </w:rPr>
        <w:t xml:space="preserve">empleabilidad, la </w:t>
      </w:r>
      <w:r w:rsidRPr="006626F9">
        <w:rPr>
          <w:rFonts w:ascii="Tahoma" w:hAnsi="Tahoma" w:cs="Tahoma"/>
        </w:rPr>
        <w:t>colocación de recurso humano en las entidades adscritas a la agencia</w:t>
      </w:r>
      <w:r>
        <w:rPr>
          <w:rFonts w:ascii="Tahoma" w:hAnsi="Tahoma" w:cs="Tahoma"/>
        </w:rPr>
        <w:t>,</w:t>
      </w:r>
      <w:r w:rsidR="009F25C6">
        <w:rPr>
          <w:rFonts w:ascii="Tahoma" w:hAnsi="Tahoma" w:cs="Tahoma"/>
        </w:rPr>
        <w:t xml:space="preserve"> para la vigencia 2019</w:t>
      </w:r>
      <w:r w:rsidR="00D861CF">
        <w:rPr>
          <w:rFonts w:ascii="Tahoma" w:hAnsi="Tahoma" w:cs="Tahoma"/>
        </w:rPr>
        <w:t>;</w:t>
      </w:r>
      <w:r w:rsidR="009F25C6">
        <w:rPr>
          <w:rFonts w:ascii="Tahoma" w:hAnsi="Tahoma" w:cs="Tahoma"/>
        </w:rPr>
        <w:t xml:space="preserve"> se inscribieron 261 nuevas empresas, las cuales, ofertaron 3016 vacantes y el IMEBU coloco 516 directos y 74 indirectos,</w:t>
      </w:r>
      <w:r>
        <w:rPr>
          <w:rFonts w:ascii="Tahoma" w:hAnsi="Tahoma" w:cs="Tahoma"/>
        </w:rPr>
        <w:t xml:space="preserve"> </w:t>
      </w:r>
      <w:r w:rsidR="00D861CF">
        <w:rPr>
          <w:rFonts w:ascii="Tahoma" w:hAnsi="Tahoma" w:cs="Tahoma"/>
        </w:rPr>
        <w:t xml:space="preserve">el porcentaje es del cinco punto once (5,11%), porque este porcentaje tan </w:t>
      </w:r>
      <w:r w:rsidR="005C34C9">
        <w:rPr>
          <w:rFonts w:ascii="Tahoma" w:hAnsi="Tahoma" w:cs="Tahoma"/>
        </w:rPr>
        <w:t>bajo?</w:t>
      </w:r>
      <w:r w:rsidR="0064774E">
        <w:rPr>
          <w:rFonts w:ascii="Tahoma" w:hAnsi="Tahoma" w:cs="Tahoma"/>
        </w:rPr>
        <w:t>; si bien el plan de desarrollo exige otro indicador, para la oficina de control interno</w:t>
      </w:r>
      <w:r w:rsidR="004D0EB4">
        <w:rPr>
          <w:rFonts w:ascii="Tahoma" w:hAnsi="Tahoma" w:cs="Tahoma"/>
        </w:rPr>
        <w:t>,</w:t>
      </w:r>
      <w:r w:rsidR="0064774E">
        <w:rPr>
          <w:rFonts w:ascii="Tahoma" w:hAnsi="Tahoma" w:cs="Tahoma"/>
        </w:rPr>
        <w:t xml:space="preserve"> no cumple con el principio de eficacia contemplado en el artículo 209 de la constitución política</w:t>
      </w:r>
      <w:r w:rsidR="004D0EB4">
        <w:rPr>
          <w:rFonts w:ascii="Tahoma" w:hAnsi="Tahoma" w:cs="Tahoma"/>
        </w:rPr>
        <w:t xml:space="preserve">  de Colombia.</w:t>
      </w:r>
      <w:r w:rsidR="005C34C9">
        <w:rPr>
          <w:rFonts w:ascii="Tahoma" w:hAnsi="Tahoma" w:cs="Tahoma"/>
        </w:rPr>
        <w:t xml:space="preserve"> </w:t>
      </w:r>
    </w:p>
    <w:p w14:paraId="3B8BA54F" w14:textId="77777777" w:rsidR="005C34C9" w:rsidRDefault="005C34C9" w:rsidP="00B86570">
      <w:pPr>
        <w:jc w:val="both"/>
        <w:rPr>
          <w:rFonts w:ascii="Tahoma" w:hAnsi="Tahoma" w:cs="Tahoma"/>
        </w:rPr>
      </w:pPr>
    </w:p>
    <w:p w14:paraId="190AD5A0" w14:textId="0BCEAD92" w:rsidR="00255E6F" w:rsidRPr="006626F9" w:rsidRDefault="00D861CF" w:rsidP="00B86570">
      <w:pPr>
        <w:jc w:val="both"/>
        <w:rPr>
          <w:rFonts w:ascii="Tahoma" w:hAnsi="Tahoma" w:cs="Tahoma"/>
        </w:rPr>
      </w:pPr>
      <w:r>
        <w:rPr>
          <w:rFonts w:ascii="Tahoma" w:hAnsi="Tahoma" w:cs="Tahoma"/>
        </w:rPr>
        <w:t>Además</w:t>
      </w:r>
      <w:r w:rsidR="005C34C9">
        <w:rPr>
          <w:rFonts w:ascii="Tahoma" w:hAnsi="Tahoma" w:cs="Tahoma"/>
        </w:rPr>
        <w:t>,</w:t>
      </w:r>
      <w:r>
        <w:rPr>
          <w:rFonts w:ascii="Tahoma" w:hAnsi="Tahoma" w:cs="Tahoma"/>
        </w:rPr>
        <w:t xml:space="preserve"> </w:t>
      </w:r>
      <w:r w:rsidR="009A632D">
        <w:rPr>
          <w:rFonts w:ascii="Tahoma" w:hAnsi="Tahoma" w:cs="Tahoma"/>
        </w:rPr>
        <w:t xml:space="preserve">el </w:t>
      </w:r>
      <w:r w:rsidR="0064774E">
        <w:rPr>
          <w:rFonts w:ascii="Tahoma" w:hAnsi="Tahoma" w:cs="Tahoma"/>
        </w:rPr>
        <w:t xml:space="preserve">SISE, </w:t>
      </w:r>
      <w:r>
        <w:rPr>
          <w:rFonts w:ascii="Tahoma" w:hAnsi="Tahoma" w:cs="Tahoma"/>
        </w:rPr>
        <w:t>se encuentran doble</w:t>
      </w:r>
      <w:r w:rsidR="009A632D">
        <w:rPr>
          <w:rFonts w:ascii="Tahoma" w:hAnsi="Tahoma" w:cs="Tahoma"/>
        </w:rPr>
        <w:t xml:space="preserve"> registros en la</w:t>
      </w:r>
      <w:r w:rsidR="00712A23">
        <w:rPr>
          <w:rFonts w:ascii="Tahoma" w:hAnsi="Tahoma" w:cs="Tahoma"/>
        </w:rPr>
        <w:t>s</w:t>
      </w:r>
      <w:r w:rsidR="009A632D">
        <w:rPr>
          <w:rFonts w:ascii="Tahoma" w:hAnsi="Tahoma" w:cs="Tahoma"/>
        </w:rPr>
        <w:t xml:space="preserve"> solicitudes de vacantes de</w:t>
      </w:r>
      <w:r>
        <w:rPr>
          <w:rFonts w:ascii="Tahoma" w:hAnsi="Tahoma" w:cs="Tahoma"/>
        </w:rPr>
        <w:t xml:space="preserve"> la misma empresa para </w:t>
      </w:r>
      <w:r w:rsidR="005C34C9">
        <w:rPr>
          <w:rFonts w:ascii="Tahoma" w:hAnsi="Tahoma" w:cs="Tahoma"/>
        </w:rPr>
        <w:t xml:space="preserve">las convocatorias. </w:t>
      </w:r>
    </w:p>
    <w:p w14:paraId="001A36C3" w14:textId="62D94BA4" w:rsidR="00255E6F" w:rsidRPr="006626F9" w:rsidRDefault="00255E6F" w:rsidP="00B86570">
      <w:pPr>
        <w:jc w:val="both"/>
        <w:rPr>
          <w:rFonts w:ascii="Tahoma" w:hAnsi="Tahoma" w:cs="Tahoma"/>
          <w:color w:val="FF0000"/>
        </w:rPr>
      </w:pPr>
    </w:p>
    <w:p w14:paraId="25634896" w14:textId="1E7EF15E" w:rsidR="00B714D3" w:rsidRDefault="002C3AFA" w:rsidP="00C2771B">
      <w:pPr>
        <w:jc w:val="both"/>
        <w:rPr>
          <w:rFonts w:ascii="Tahoma" w:hAnsi="Tahoma" w:cs="Tahoma"/>
          <w:b/>
          <w:bCs/>
          <w:i/>
          <w:iCs/>
        </w:rPr>
      </w:pPr>
      <w:r w:rsidRPr="002C3AFA">
        <w:rPr>
          <w:rFonts w:ascii="Tahoma" w:hAnsi="Tahoma" w:cs="Tahoma"/>
          <w:b/>
          <w:bCs/>
          <w:i/>
          <w:iCs/>
        </w:rPr>
        <w:t>Banca Ciudadana</w:t>
      </w:r>
    </w:p>
    <w:p w14:paraId="06FE5BF3" w14:textId="671A209D" w:rsidR="00C022C2" w:rsidRDefault="00C022C2" w:rsidP="00C2771B">
      <w:pPr>
        <w:jc w:val="both"/>
        <w:rPr>
          <w:rFonts w:ascii="Tahoma" w:hAnsi="Tahoma" w:cs="Tahoma"/>
          <w:b/>
          <w:bCs/>
          <w:i/>
          <w:iCs/>
        </w:rPr>
      </w:pPr>
    </w:p>
    <w:p w14:paraId="7B2D29EF" w14:textId="6202E75D" w:rsidR="009A632D" w:rsidRDefault="001368DD" w:rsidP="003042B2">
      <w:pPr>
        <w:jc w:val="both"/>
        <w:rPr>
          <w:rFonts w:ascii="Tahoma" w:hAnsi="Tahoma" w:cs="Tahoma"/>
        </w:rPr>
      </w:pPr>
      <w:r w:rsidRPr="003042B2">
        <w:rPr>
          <w:rFonts w:ascii="Tahoma" w:hAnsi="Tahoma" w:cs="Tahoma"/>
        </w:rPr>
        <w:t>La oficina de control interno evidencio</w:t>
      </w:r>
      <w:r w:rsidR="00836A8F">
        <w:rPr>
          <w:rFonts w:ascii="Tahoma" w:hAnsi="Tahoma" w:cs="Tahoma"/>
        </w:rPr>
        <w:t>,</w:t>
      </w:r>
      <w:r w:rsidRPr="003042B2">
        <w:rPr>
          <w:rFonts w:ascii="Tahoma" w:hAnsi="Tahoma" w:cs="Tahoma"/>
        </w:rPr>
        <w:t xml:space="preserve"> en las visitas que se realizó con operadores</w:t>
      </w:r>
      <w:r w:rsidR="005C34C9" w:rsidRPr="003042B2">
        <w:rPr>
          <w:rFonts w:ascii="Tahoma" w:hAnsi="Tahoma" w:cs="Tahoma"/>
        </w:rPr>
        <w:t>, que ellos cuentan</w:t>
      </w:r>
      <w:r w:rsidR="003042B2">
        <w:rPr>
          <w:rFonts w:ascii="Tahoma" w:hAnsi="Tahoma" w:cs="Tahoma"/>
        </w:rPr>
        <w:t>,</w:t>
      </w:r>
      <w:r w:rsidR="005C34C9" w:rsidRPr="003042B2">
        <w:rPr>
          <w:rFonts w:ascii="Tahoma" w:hAnsi="Tahoma" w:cs="Tahoma"/>
        </w:rPr>
        <w:t xml:space="preserve"> </w:t>
      </w:r>
      <w:r w:rsidR="003042B2" w:rsidRPr="003042B2">
        <w:rPr>
          <w:rFonts w:ascii="Tahoma" w:hAnsi="Tahoma" w:cs="Tahoma"/>
        </w:rPr>
        <w:t>con convenios</w:t>
      </w:r>
      <w:r w:rsidR="003042B2">
        <w:rPr>
          <w:rFonts w:ascii="Tahoma" w:hAnsi="Tahoma" w:cs="Tahoma"/>
        </w:rPr>
        <w:t xml:space="preserve"> prorrogados</w:t>
      </w:r>
      <w:r w:rsidR="003042B2" w:rsidRPr="003042B2">
        <w:rPr>
          <w:rFonts w:ascii="Tahoma" w:hAnsi="Tahoma" w:cs="Tahoma"/>
        </w:rPr>
        <w:t xml:space="preserve"> de los años 2010, 2011, y 2012 </w:t>
      </w:r>
      <w:r w:rsidR="003042B2">
        <w:rPr>
          <w:rFonts w:ascii="Tahoma" w:hAnsi="Tahoma" w:cs="Tahoma"/>
        </w:rPr>
        <w:t xml:space="preserve">es el caso de </w:t>
      </w:r>
      <w:r w:rsidR="003042B2" w:rsidRPr="003042B2">
        <w:rPr>
          <w:rFonts w:ascii="Tahoma" w:hAnsi="Tahoma" w:cs="Tahoma"/>
        </w:rPr>
        <w:t>CORFAS</w:t>
      </w:r>
      <w:r w:rsidR="003042B2">
        <w:rPr>
          <w:rFonts w:ascii="Tahoma" w:hAnsi="Tahoma" w:cs="Tahoma"/>
        </w:rPr>
        <w:t>, igualmente, Fundesan tiene contratos prorrogados desde 2010, 2011, 2012, 2013, 2014, 2015,</w:t>
      </w:r>
      <w:r w:rsidR="001D1BF9">
        <w:rPr>
          <w:rFonts w:ascii="Tahoma" w:hAnsi="Tahoma" w:cs="Tahoma"/>
        </w:rPr>
        <w:t xml:space="preserve"> también, Coopfuturo desde</w:t>
      </w:r>
      <w:r w:rsidR="009A632D">
        <w:rPr>
          <w:rFonts w:ascii="Tahoma" w:hAnsi="Tahoma" w:cs="Tahoma"/>
        </w:rPr>
        <w:t xml:space="preserve"> </w:t>
      </w:r>
      <w:r w:rsidR="00BE7BE9">
        <w:rPr>
          <w:rFonts w:ascii="Tahoma" w:hAnsi="Tahoma" w:cs="Tahoma"/>
        </w:rPr>
        <w:t>2010, 2011, 2012, 2013, 2015</w:t>
      </w:r>
      <w:r w:rsidR="001D1BF9">
        <w:rPr>
          <w:rFonts w:ascii="Tahoma" w:hAnsi="Tahoma" w:cs="Tahoma"/>
        </w:rPr>
        <w:t>,</w:t>
      </w:r>
      <w:r w:rsidR="00BE7BE9">
        <w:rPr>
          <w:rFonts w:ascii="Tahoma" w:hAnsi="Tahoma" w:cs="Tahoma"/>
        </w:rPr>
        <w:t xml:space="preserve"> 2016</w:t>
      </w:r>
      <w:r w:rsidR="001D1BF9">
        <w:rPr>
          <w:rFonts w:ascii="Tahoma" w:hAnsi="Tahoma" w:cs="Tahoma"/>
        </w:rPr>
        <w:t xml:space="preserve"> si la entidad, aprobó </w:t>
      </w:r>
      <w:r w:rsidR="00836A8F">
        <w:rPr>
          <w:rFonts w:ascii="Tahoma" w:hAnsi="Tahoma" w:cs="Tahoma"/>
        </w:rPr>
        <w:t xml:space="preserve"> un plan y </w:t>
      </w:r>
      <w:r w:rsidR="001D1BF9">
        <w:rPr>
          <w:rFonts w:ascii="Tahoma" w:hAnsi="Tahoma" w:cs="Tahoma"/>
        </w:rPr>
        <w:t>unas políticas de crédito, a partir del año 2018, estas no deben prevalecer en las prórrogas del convenio</w:t>
      </w:r>
      <w:r w:rsidR="00836A8F">
        <w:rPr>
          <w:rFonts w:ascii="Tahoma" w:hAnsi="Tahoma" w:cs="Tahoma"/>
        </w:rPr>
        <w:t xml:space="preserve"> prorrogado</w:t>
      </w:r>
      <w:r w:rsidR="00BE7BE9">
        <w:rPr>
          <w:rFonts w:ascii="Tahoma" w:hAnsi="Tahoma" w:cs="Tahoma"/>
        </w:rPr>
        <w:t xml:space="preserve">, sumado </w:t>
      </w:r>
      <w:r w:rsidR="00A85F27">
        <w:rPr>
          <w:rFonts w:ascii="Tahoma" w:hAnsi="Tahoma" w:cs="Tahoma"/>
        </w:rPr>
        <w:t xml:space="preserve"> a </w:t>
      </w:r>
      <w:r w:rsidR="00BE7BE9">
        <w:rPr>
          <w:rFonts w:ascii="Tahoma" w:hAnsi="Tahoma" w:cs="Tahoma"/>
        </w:rPr>
        <w:t xml:space="preserve">las  nuevas condiciones adoptadas en el nuevo plan </w:t>
      </w:r>
      <w:r w:rsidR="00836A8F">
        <w:rPr>
          <w:rFonts w:ascii="Tahoma" w:hAnsi="Tahoma" w:cs="Tahoma"/>
        </w:rPr>
        <w:t>del</w:t>
      </w:r>
      <w:r w:rsidR="00A85F27">
        <w:rPr>
          <w:rFonts w:ascii="Tahoma" w:hAnsi="Tahoma" w:cs="Tahoma"/>
        </w:rPr>
        <w:t xml:space="preserve"> fondo y de las </w:t>
      </w:r>
      <w:r w:rsidR="00BE7BE9">
        <w:rPr>
          <w:rFonts w:ascii="Tahoma" w:hAnsi="Tahoma" w:cs="Tahoma"/>
        </w:rPr>
        <w:t xml:space="preserve"> políticas de crédito</w:t>
      </w:r>
      <w:r w:rsidR="00A85F27">
        <w:rPr>
          <w:rFonts w:ascii="Tahoma" w:hAnsi="Tahoma" w:cs="Tahoma"/>
        </w:rPr>
        <w:t xml:space="preserve"> ajustadas y aprobadas por IMEBU</w:t>
      </w:r>
      <w:r w:rsidR="009A632D">
        <w:rPr>
          <w:rFonts w:ascii="Tahoma" w:hAnsi="Tahoma" w:cs="Tahoma"/>
        </w:rPr>
        <w:t>.</w:t>
      </w:r>
    </w:p>
    <w:p w14:paraId="5BCFA739" w14:textId="77777777" w:rsidR="009A632D" w:rsidRDefault="009A632D" w:rsidP="003042B2">
      <w:pPr>
        <w:jc w:val="both"/>
        <w:rPr>
          <w:rFonts w:ascii="Tahoma" w:hAnsi="Tahoma" w:cs="Tahoma"/>
        </w:rPr>
      </w:pPr>
    </w:p>
    <w:p w14:paraId="70620EBC" w14:textId="181DF19C" w:rsidR="00C022C2" w:rsidRPr="003042B2" w:rsidRDefault="009A632D" w:rsidP="003042B2">
      <w:pPr>
        <w:jc w:val="both"/>
        <w:rPr>
          <w:rFonts w:ascii="Tahoma" w:hAnsi="Tahoma" w:cs="Tahoma"/>
        </w:rPr>
      </w:pPr>
      <w:r>
        <w:rPr>
          <w:rFonts w:ascii="Tahoma" w:hAnsi="Tahoma" w:cs="Tahoma"/>
        </w:rPr>
        <w:t>A</w:t>
      </w:r>
      <w:r w:rsidR="001D1BF9">
        <w:rPr>
          <w:rFonts w:ascii="Tahoma" w:hAnsi="Tahoma" w:cs="Tahoma"/>
        </w:rPr>
        <w:t xml:space="preserve">demás, </w:t>
      </w:r>
      <w:r>
        <w:rPr>
          <w:rFonts w:ascii="Tahoma" w:hAnsi="Tahoma" w:cs="Tahoma"/>
        </w:rPr>
        <w:t xml:space="preserve">los </w:t>
      </w:r>
      <w:r w:rsidR="001D1BF9">
        <w:rPr>
          <w:rFonts w:ascii="Tahoma" w:hAnsi="Tahoma" w:cs="Tahoma"/>
        </w:rPr>
        <w:t xml:space="preserve">dineros rembolsados </w:t>
      </w:r>
      <w:r w:rsidR="00A85F27">
        <w:rPr>
          <w:rFonts w:ascii="Tahoma" w:hAnsi="Tahoma" w:cs="Tahoma"/>
        </w:rPr>
        <w:t xml:space="preserve">por los apoderados </w:t>
      </w:r>
      <w:r>
        <w:rPr>
          <w:rFonts w:ascii="Tahoma" w:hAnsi="Tahoma" w:cs="Tahoma"/>
        </w:rPr>
        <w:t xml:space="preserve">a la </w:t>
      </w:r>
      <w:r w:rsidR="00BE7BE9">
        <w:rPr>
          <w:rFonts w:ascii="Tahoma" w:hAnsi="Tahoma" w:cs="Tahoma"/>
        </w:rPr>
        <w:t>entidad</w:t>
      </w:r>
      <w:r w:rsidR="00A85F27">
        <w:rPr>
          <w:rFonts w:ascii="Tahoma" w:hAnsi="Tahoma" w:cs="Tahoma"/>
        </w:rPr>
        <w:t xml:space="preserve">, y consignados a las cuentas bancarias de la entidad, no </w:t>
      </w:r>
      <w:r w:rsidR="00836A8F">
        <w:rPr>
          <w:rFonts w:ascii="Tahoma" w:hAnsi="Tahoma" w:cs="Tahoma"/>
        </w:rPr>
        <w:t xml:space="preserve"> están ganando </w:t>
      </w:r>
      <w:r>
        <w:rPr>
          <w:rFonts w:ascii="Tahoma" w:hAnsi="Tahoma" w:cs="Tahoma"/>
        </w:rPr>
        <w:t>la misma tasa de</w:t>
      </w:r>
      <w:r w:rsidR="001D1BF9">
        <w:rPr>
          <w:rFonts w:ascii="Tahoma" w:hAnsi="Tahoma" w:cs="Tahoma"/>
        </w:rPr>
        <w:t xml:space="preserve"> interés</w:t>
      </w:r>
      <w:r>
        <w:rPr>
          <w:rFonts w:ascii="Tahoma" w:hAnsi="Tahoma" w:cs="Tahoma"/>
        </w:rPr>
        <w:t>,</w:t>
      </w:r>
      <w:r w:rsidR="00A85F27">
        <w:rPr>
          <w:rFonts w:ascii="Tahoma" w:hAnsi="Tahoma" w:cs="Tahoma"/>
        </w:rPr>
        <w:t xml:space="preserve"> puestas con los apoderados, a la tasa de interés</w:t>
      </w:r>
      <w:r>
        <w:rPr>
          <w:rFonts w:ascii="Tahoma" w:hAnsi="Tahoma" w:cs="Tahoma"/>
        </w:rPr>
        <w:t xml:space="preserve"> bancaria </w:t>
      </w:r>
      <w:r w:rsidR="00A85F27">
        <w:rPr>
          <w:rFonts w:ascii="Tahoma" w:hAnsi="Tahoma" w:cs="Tahoma"/>
        </w:rPr>
        <w:t>del mercado</w:t>
      </w:r>
      <w:r w:rsidR="001D1BF9">
        <w:rPr>
          <w:rFonts w:ascii="Tahoma" w:hAnsi="Tahoma" w:cs="Tahoma"/>
        </w:rPr>
        <w:t>.</w:t>
      </w:r>
    </w:p>
    <w:p w14:paraId="39C7E077" w14:textId="77777777" w:rsidR="00A85F27" w:rsidRDefault="00A85F27" w:rsidP="00C2771B">
      <w:pPr>
        <w:jc w:val="both"/>
        <w:rPr>
          <w:rFonts w:ascii="Tahoma" w:hAnsi="Tahoma" w:cs="Tahoma"/>
          <w:b/>
          <w:bCs/>
          <w:i/>
          <w:iCs/>
        </w:rPr>
      </w:pPr>
    </w:p>
    <w:p w14:paraId="71D3FA46" w14:textId="1D5AA710" w:rsidR="002C3AFA" w:rsidRDefault="002C3AFA" w:rsidP="00C2771B">
      <w:pPr>
        <w:jc w:val="both"/>
        <w:rPr>
          <w:rFonts w:ascii="Tahoma" w:hAnsi="Tahoma" w:cs="Tahoma"/>
          <w:b/>
          <w:bCs/>
          <w:i/>
          <w:iCs/>
        </w:rPr>
      </w:pPr>
      <w:r>
        <w:rPr>
          <w:rFonts w:ascii="Tahoma" w:hAnsi="Tahoma" w:cs="Tahoma"/>
          <w:b/>
          <w:bCs/>
          <w:i/>
          <w:iCs/>
        </w:rPr>
        <w:t>Plan de Desarrollo</w:t>
      </w:r>
    </w:p>
    <w:p w14:paraId="46266EE0" w14:textId="43FB02EE" w:rsidR="002C3AFA" w:rsidRDefault="002C3AFA" w:rsidP="00C2771B">
      <w:pPr>
        <w:jc w:val="both"/>
        <w:rPr>
          <w:rFonts w:ascii="Tahoma" w:hAnsi="Tahoma" w:cs="Tahoma"/>
          <w:b/>
          <w:bCs/>
          <w:i/>
          <w:iCs/>
        </w:rPr>
      </w:pPr>
    </w:p>
    <w:p w14:paraId="65033EA1" w14:textId="2ECCB7D4" w:rsidR="00DF0D96" w:rsidRPr="00DF0D96" w:rsidRDefault="00DF0D96" w:rsidP="00C2771B">
      <w:pPr>
        <w:jc w:val="both"/>
        <w:rPr>
          <w:rFonts w:ascii="Tahoma" w:hAnsi="Tahoma" w:cs="Tahoma"/>
          <w:i/>
          <w:iCs/>
        </w:rPr>
      </w:pPr>
      <w:r w:rsidRPr="00DF0D96">
        <w:rPr>
          <w:rFonts w:ascii="Tahoma" w:hAnsi="Tahoma" w:cs="Tahoma"/>
        </w:rPr>
        <w:t>El segundo parágrafo del artículo 339 de la constitución política de Colombia determina “</w:t>
      </w:r>
      <w:r w:rsidRPr="00DF0D96">
        <w:rPr>
          <w:rFonts w:ascii="Tahoma" w:hAnsi="Tahoma" w:cs="Tahoma"/>
          <w:i/>
          <w:iCs/>
        </w:rPr>
        <w:t xml:space="preserve">Las entidades territoriales elaborarán y adoptarán de manera concertada entre ellas y el gobierno nacional, planes de desarrollo, con el objeto de asegurar el uso eficiente de sus recursos y el desempeño adecuado de las funciones que les </w:t>
      </w:r>
      <w:r w:rsidRPr="00DF0D96">
        <w:rPr>
          <w:rFonts w:ascii="Tahoma" w:hAnsi="Tahoma" w:cs="Tahoma"/>
          <w:i/>
          <w:iCs/>
        </w:rPr>
        <w:lastRenderedPageBreak/>
        <w:t>hayan sido asignadas por la Constitución y la ley. Los planes de las entidades territoriales estarán conformados por una parte estratégica y un plan de inversiones de mediano y corto plazo”</w:t>
      </w:r>
    </w:p>
    <w:p w14:paraId="6D9C49AA" w14:textId="77777777" w:rsidR="00DF0D96" w:rsidRPr="00DF0D96" w:rsidRDefault="00DF0D96" w:rsidP="00C2771B">
      <w:pPr>
        <w:jc w:val="both"/>
        <w:rPr>
          <w:rFonts w:ascii="Tahoma" w:hAnsi="Tahoma" w:cs="Tahoma"/>
          <w:i/>
          <w:iCs/>
        </w:rPr>
      </w:pPr>
    </w:p>
    <w:p w14:paraId="6513A2B1" w14:textId="322F8783" w:rsidR="002C3AFA" w:rsidRPr="00DF0D96" w:rsidRDefault="00DF0D96" w:rsidP="00C2771B">
      <w:pPr>
        <w:jc w:val="both"/>
        <w:rPr>
          <w:rFonts w:ascii="Tahoma" w:hAnsi="Tahoma" w:cs="Tahoma"/>
          <w:b/>
          <w:bCs/>
        </w:rPr>
      </w:pPr>
      <w:r w:rsidRPr="00DF0D96">
        <w:rPr>
          <w:rFonts w:ascii="Tahoma" w:hAnsi="Tahoma" w:cs="Tahoma"/>
        </w:rPr>
        <w:t>De la evidencia que realizo la oficina de control interno, no pudo evidenciar, el valor del plan de inversión de la entidad para el cumplimiento del PDM</w:t>
      </w:r>
      <w:r w:rsidR="00BB4818">
        <w:rPr>
          <w:rFonts w:ascii="Tahoma" w:hAnsi="Tahoma" w:cs="Tahoma"/>
        </w:rPr>
        <w:t xml:space="preserve"> con relación a los proyectos encomendados</w:t>
      </w:r>
      <w:r w:rsidRPr="00DF0D96">
        <w:rPr>
          <w:rFonts w:ascii="Tahoma" w:hAnsi="Tahoma" w:cs="Tahoma"/>
        </w:rPr>
        <w:t>; por lo anterior solicita a la subdirección técnica informar el valor del plan de inversión de mediano y corto plazo de la entidad.</w:t>
      </w:r>
    </w:p>
    <w:p w14:paraId="2FE68278" w14:textId="39280D56" w:rsidR="00BE7BE9" w:rsidRDefault="00BE7BE9" w:rsidP="00C2771B">
      <w:pPr>
        <w:jc w:val="both"/>
        <w:rPr>
          <w:rFonts w:ascii="Tahoma" w:hAnsi="Tahoma" w:cs="Tahoma"/>
          <w:b/>
          <w:bCs/>
          <w:i/>
          <w:iCs/>
        </w:rPr>
      </w:pPr>
    </w:p>
    <w:p w14:paraId="745678B7" w14:textId="524E685C" w:rsidR="002C3AFA" w:rsidRDefault="002C3AFA" w:rsidP="00C2771B">
      <w:pPr>
        <w:jc w:val="both"/>
        <w:rPr>
          <w:rFonts w:ascii="Tahoma" w:hAnsi="Tahoma" w:cs="Tahoma"/>
          <w:b/>
          <w:bCs/>
          <w:i/>
          <w:iCs/>
        </w:rPr>
      </w:pPr>
      <w:r>
        <w:rPr>
          <w:rFonts w:ascii="Tahoma" w:hAnsi="Tahoma" w:cs="Tahoma"/>
          <w:b/>
          <w:bCs/>
          <w:i/>
          <w:iCs/>
        </w:rPr>
        <w:t>Mapa de Riesgos</w:t>
      </w:r>
    </w:p>
    <w:p w14:paraId="774C03BF" w14:textId="3A38BF0E" w:rsidR="002C3AFA" w:rsidRDefault="002C3AFA" w:rsidP="00C2771B">
      <w:pPr>
        <w:jc w:val="both"/>
        <w:rPr>
          <w:rFonts w:ascii="Tahoma" w:hAnsi="Tahoma" w:cs="Tahoma"/>
          <w:b/>
          <w:bCs/>
          <w:i/>
          <w:iCs/>
        </w:rPr>
      </w:pPr>
    </w:p>
    <w:p w14:paraId="0309D967" w14:textId="4FCAB2FB" w:rsidR="002C3AFA" w:rsidRPr="00BE3558" w:rsidRDefault="00BE3558" w:rsidP="00C2771B">
      <w:pPr>
        <w:jc w:val="both"/>
        <w:rPr>
          <w:rFonts w:ascii="Tahoma" w:hAnsi="Tahoma" w:cs="Tahoma"/>
        </w:rPr>
      </w:pPr>
      <w:r w:rsidRPr="00BE3558">
        <w:rPr>
          <w:rFonts w:ascii="Tahoma" w:hAnsi="Tahoma" w:cs="Tahoma"/>
        </w:rPr>
        <w:t xml:space="preserve">El Departamento administrativo de la Función pública proyecto la </w:t>
      </w:r>
      <w:r w:rsidRPr="00BE3558">
        <w:rPr>
          <w:rFonts w:ascii="Tahoma" w:hAnsi="Tahoma" w:cs="Tahoma"/>
          <w:i/>
          <w:iCs/>
        </w:rPr>
        <w:t>Guía para la administración del riesgo y el diseño de controles en entidades públicas para la vigencia 2018,</w:t>
      </w:r>
      <w:r>
        <w:rPr>
          <w:rFonts w:ascii="Tahoma" w:hAnsi="Tahoma" w:cs="Tahoma"/>
        </w:rPr>
        <w:t xml:space="preserve"> en la página 28 establece la tipología de riesgos; </w:t>
      </w:r>
      <w:r w:rsidRPr="00BE3558">
        <w:rPr>
          <w:rFonts w:ascii="Tahoma" w:hAnsi="Tahoma" w:cs="Tahoma"/>
        </w:rPr>
        <w:t>en análisis de la matriz de gestión de riesgos y oportunidades suministrada por la subdirección técnica</w:t>
      </w:r>
      <w:r>
        <w:rPr>
          <w:rFonts w:ascii="Tahoma" w:hAnsi="Tahoma" w:cs="Tahoma"/>
        </w:rPr>
        <w:t xml:space="preserve"> del instituto municipal de empleo y fomento empresarial Imebu, dentro de la matriz no se clasifican riesgos tales como, riesgos estratégicos, riesgos gerenciales, riesgos operativos, riesgos financieros, riesgos de cumplimiento, riesgos de imagen o reputacional; por lo anterior</w:t>
      </w:r>
      <w:r w:rsidR="00112AE3">
        <w:rPr>
          <w:rFonts w:ascii="Tahoma" w:hAnsi="Tahoma" w:cs="Tahoma"/>
        </w:rPr>
        <w:t>,</w:t>
      </w:r>
      <w:r>
        <w:rPr>
          <w:rFonts w:ascii="Tahoma" w:hAnsi="Tahoma" w:cs="Tahoma"/>
        </w:rPr>
        <w:t xml:space="preserve"> la oficina de control interno</w:t>
      </w:r>
      <w:r w:rsidR="00112AE3">
        <w:rPr>
          <w:rFonts w:ascii="Tahoma" w:hAnsi="Tahoma" w:cs="Tahoma"/>
        </w:rPr>
        <w:t>,</w:t>
      </w:r>
      <w:r>
        <w:rPr>
          <w:rFonts w:ascii="Tahoma" w:hAnsi="Tahoma" w:cs="Tahoma"/>
        </w:rPr>
        <w:t xml:space="preserve"> solicita </w:t>
      </w:r>
      <w:r w:rsidR="00112AE3">
        <w:rPr>
          <w:rFonts w:ascii="Tahoma" w:hAnsi="Tahoma" w:cs="Tahoma"/>
        </w:rPr>
        <w:t xml:space="preserve"> establecer por qué no se contempló en la matriz  de 2019 este tipo de riesgo.</w:t>
      </w:r>
    </w:p>
    <w:p w14:paraId="0472C250" w14:textId="41953C99" w:rsidR="00BE3558" w:rsidRDefault="00BE3558" w:rsidP="00C2771B">
      <w:pPr>
        <w:jc w:val="both"/>
        <w:rPr>
          <w:rFonts w:ascii="Tahoma" w:hAnsi="Tahoma" w:cs="Tahoma"/>
          <w:b/>
          <w:bCs/>
          <w:i/>
          <w:iCs/>
        </w:rPr>
      </w:pPr>
    </w:p>
    <w:p w14:paraId="4F132B76" w14:textId="622708E0" w:rsidR="002C3AFA" w:rsidRDefault="002C3AFA" w:rsidP="00C2771B">
      <w:pPr>
        <w:jc w:val="both"/>
        <w:rPr>
          <w:rFonts w:ascii="Tahoma" w:hAnsi="Tahoma" w:cs="Tahoma"/>
          <w:b/>
          <w:bCs/>
          <w:i/>
          <w:iCs/>
        </w:rPr>
      </w:pPr>
      <w:r>
        <w:rPr>
          <w:rFonts w:ascii="Tahoma" w:hAnsi="Tahoma" w:cs="Tahoma"/>
          <w:b/>
          <w:bCs/>
          <w:i/>
          <w:iCs/>
        </w:rPr>
        <w:t>Empresa madre</w:t>
      </w:r>
    </w:p>
    <w:p w14:paraId="0E8C59D0" w14:textId="34CF27DA" w:rsidR="002C3AFA" w:rsidRDefault="002C3AFA" w:rsidP="00C2771B">
      <w:pPr>
        <w:jc w:val="both"/>
        <w:rPr>
          <w:rFonts w:ascii="Tahoma" w:hAnsi="Tahoma" w:cs="Tahoma"/>
          <w:b/>
          <w:bCs/>
          <w:i/>
          <w:iCs/>
        </w:rPr>
      </w:pPr>
    </w:p>
    <w:p w14:paraId="0A38A6F9" w14:textId="5EDFF65F" w:rsidR="002C3AFA" w:rsidRPr="00952999" w:rsidRDefault="00D554B4" w:rsidP="00C2771B">
      <w:pPr>
        <w:jc w:val="both"/>
        <w:rPr>
          <w:rFonts w:ascii="Tahoma" w:hAnsi="Tahoma" w:cs="Tahoma"/>
        </w:rPr>
      </w:pPr>
      <w:r w:rsidRPr="00952999">
        <w:rPr>
          <w:rFonts w:ascii="Tahoma" w:hAnsi="Tahoma" w:cs="Tahoma"/>
        </w:rPr>
        <w:t>El programa de empresa madre,</w:t>
      </w:r>
      <w:r w:rsidR="00952999" w:rsidRPr="00952999">
        <w:rPr>
          <w:rFonts w:ascii="Tahoma" w:hAnsi="Tahoma" w:cs="Tahoma"/>
        </w:rPr>
        <w:t xml:space="preserve"> </w:t>
      </w:r>
      <w:r w:rsidRPr="00952999">
        <w:rPr>
          <w:rFonts w:ascii="Tahoma" w:hAnsi="Tahoma" w:cs="Tahoma"/>
        </w:rPr>
        <w:t>se constituyó con el objeto</w:t>
      </w:r>
      <w:r w:rsidR="00952999" w:rsidRPr="00952999">
        <w:rPr>
          <w:rFonts w:ascii="Tahoma" w:hAnsi="Tahoma" w:cs="Tahoma"/>
        </w:rPr>
        <w:t xml:space="preserve"> </w:t>
      </w:r>
      <w:r w:rsidRPr="00952999">
        <w:rPr>
          <w:rFonts w:ascii="Tahoma" w:hAnsi="Tahoma" w:cs="Tahoma"/>
        </w:rPr>
        <w:t xml:space="preserve">de </w:t>
      </w:r>
      <w:r w:rsidR="00952999">
        <w:rPr>
          <w:rFonts w:ascii="Tahoma" w:hAnsi="Tahoma" w:cs="Tahoma"/>
        </w:rPr>
        <w:t xml:space="preserve"> emprendimientos  sociales colectivos</w:t>
      </w:r>
      <w:r w:rsidRPr="00952999">
        <w:rPr>
          <w:rFonts w:ascii="Tahoma" w:hAnsi="Tahoma" w:cs="Tahoma"/>
        </w:rPr>
        <w:t xml:space="preserve"> y consolidar una unidad de negocio; durante  la vigencia del año 2019, la oficina de control interno evidenci</w:t>
      </w:r>
      <w:r w:rsidR="00952999">
        <w:rPr>
          <w:rFonts w:ascii="Tahoma" w:hAnsi="Tahoma" w:cs="Tahoma"/>
        </w:rPr>
        <w:t>a</w:t>
      </w:r>
      <w:r w:rsidR="004634BD">
        <w:rPr>
          <w:rFonts w:ascii="Tahoma" w:hAnsi="Tahoma" w:cs="Tahoma"/>
        </w:rPr>
        <w:t>,</w:t>
      </w:r>
      <w:r w:rsidRPr="00952999">
        <w:rPr>
          <w:rFonts w:ascii="Tahoma" w:hAnsi="Tahoma" w:cs="Tahoma"/>
        </w:rPr>
        <w:t xml:space="preserve"> que es muy reducido la conformación de </w:t>
      </w:r>
      <w:r w:rsidR="00952999">
        <w:rPr>
          <w:rFonts w:ascii="Tahoma" w:hAnsi="Tahoma" w:cs="Tahoma"/>
        </w:rPr>
        <w:t xml:space="preserve"> estas </w:t>
      </w:r>
      <w:r w:rsidRPr="00952999">
        <w:rPr>
          <w:rFonts w:ascii="Tahoma" w:hAnsi="Tahoma" w:cs="Tahoma"/>
        </w:rPr>
        <w:t>empresas</w:t>
      </w:r>
      <w:r w:rsidR="00952999">
        <w:rPr>
          <w:rFonts w:ascii="Tahoma" w:hAnsi="Tahoma" w:cs="Tahoma"/>
        </w:rPr>
        <w:t>;</w:t>
      </w:r>
      <w:r w:rsidRPr="00952999">
        <w:rPr>
          <w:rFonts w:ascii="Tahoma" w:hAnsi="Tahoma" w:cs="Tahoma"/>
        </w:rPr>
        <w:t xml:space="preserve"> </w:t>
      </w:r>
      <w:r w:rsidR="00952999">
        <w:rPr>
          <w:rFonts w:ascii="Tahoma" w:hAnsi="Tahoma" w:cs="Tahoma"/>
        </w:rPr>
        <w:t xml:space="preserve"> la conformación de profesionales  para este proyecto  </w:t>
      </w:r>
      <w:r w:rsidR="004634BD">
        <w:rPr>
          <w:rFonts w:ascii="Tahoma" w:hAnsi="Tahoma" w:cs="Tahoma"/>
        </w:rPr>
        <w:t>asciende a un</w:t>
      </w:r>
      <w:r w:rsidR="00952999">
        <w:rPr>
          <w:rFonts w:ascii="Tahoma" w:hAnsi="Tahoma" w:cs="Tahoma"/>
        </w:rPr>
        <w:t xml:space="preserve"> costo a Imebu </w:t>
      </w:r>
      <w:r w:rsidR="004634BD">
        <w:rPr>
          <w:rFonts w:ascii="Tahoma" w:hAnsi="Tahoma" w:cs="Tahoma"/>
        </w:rPr>
        <w:t>de</w:t>
      </w:r>
      <w:r w:rsidR="006D354C">
        <w:rPr>
          <w:rFonts w:ascii="Tahoma" w:hAnsi="Tahoma" w:cs="Tahoma"/>
        </w:rPr>
        <w:t xml:space="preserve"> once millones </w:t>
      </w:r>
      <w:r w:rsidR="004634BD">
        <w:rPr>
          <w:rFonts w:ascii="Tahoma" w:hAnsi="Tahoma" w:cs="Tahoma"/>
        </w:rPr>
        <w:t>ciento veinte cinco mil pesos pesos</w:t>
      </w:r>
      <w:r w:rsidR="00952999">
        <w:rPr>
          <w:rFonts w:ascii="Tahoma" w:hAnsi="Tahoma" w:cs="Tahoma"/>
        </w:rPr>
        <w:t xml:space="preserve"> ($1</w:t>
      </w:r>
      <w:r w:rsidR="006D354C">
        <w:rPr>
          <w:rFonts w:ascii="Tahoma" w:hAnsi="Tahoma" w:cs="Tahoma"/>
        </w:rPr>
        <w:t>1</w:t>
      </w:r>
      <w:r w:rsidR="00952999">
        <w:rPr>
          <w:rFonts w:ascii="Tahoma" w:hAnsi="Tahoma" w:cs="Tahoma"/>
        </w:rPr>
        <w:t>.</w:t>
      </w:r>
      <w:r w:rsidR="006D354C">
        <w:rPr>
          <w:rFonts w:ascii="Tahoma" w:hAnsi="Tahoma" w:cs="Tahoma"/>
        </w:rPr>
        <w:t>125</w:t>
      </w:r>
      <w:r w:rsidR="00952999">
        <w:rPr>
          <w:rFonts w:ascii="Tahoma" w:hAnsi="Tahoma" w:cs="Tahoma"/>
        </w:rPr>
        <w:t xml:space="preserve">.000), mensuales; </w:t>
      </w:r>
      <w:r w:rsidR="006D354C">
        <w:rPr>
          <w:rFonts w:ascii="Tahoma" w:hAnsi="Tahoma" w:cs="Tahoma"/>
        </w:rPr>
        <w:t xml:space="preserve">para un costo </w:t>
      </w:r>
      <w:r w:rsidR="004634BD">
        <w:rPr>
          <w:rFonts w:ascii="Tahoma" w:hAnsi="Tahoma" w:cs="Tahoma"/>
        </w:rPr>
        <w:t>de diez meses</w:t>
      </w:r>
      <w:r w:rsidR="00836A8F">
        <w:rPr>
          <w:rFonts w:ascii="Tahoma" w:hAnsi="Tahoma" w:cs="Tahoma"/>
        </w:rPr>
        <w:t>,</w:t>
      </w:r>
      <w:r w:rsidR="006D354C">
        <w:rPr>
          <w:rFonts w:ascii="Tahoma" w:hAnsi="Tahoma" w:cs="Tahoma"/>
        </w:rPr>
        <w:t xml:space="preserve"> de </w:t>
      </w:r>
      <w:r w:rsidR="00836A8F">
        <w:rPr>
          <w:rFonts w:ascii="Tahoma" w:hAnsi="Tahoma" w:cs="Tahoma"/>
        </w:rPr>
        <w:t xml:space="preserve"> ciento veintidós millones trescientos setenta y cinco mil pesos </w:t>
      </w:r>
      <w:r w:rsidR="0093368D">
        <w:rPr>
          <w:rFonts w:ascii="Tahoma" w:hAnsi="Tahoma" w:cs="Tahoma"/>
        </w:rPr>
        <w:t>$</w:t>
      </w:r>
      <w:r w:rsidR="006D354C">
        <w:rPr>
          <w:rFonts w:ascii="Tahoma" w:hAnsi="Tahoma" w:cs="Tahoma"/>
        </w:rPr>
        <w:t>122</w:t>
      </w:r>
      <w:r w:rsidR="0093368D">
        <w:rPr>
          <w:rFonts w:ascii="Tahoma" w:hAnsi="Tahoma" w:cs="Tahoma"/>
        </w:rPr>
        <w:t>.</w:t>
      </w:r>
      <w:r w:rsidR="006D354C">
        <w:rPr>
          <w:rFonts w:ascii="Tahoma" w:hAnsi="Tahoma" w:cs="Tahoma"/>
        </w:rPr>
        <w:t>375</w:t>
      </w:r>
      <w:r w:rsidR="0093368D">
        <w:rPr>
          <w:rFonts w:ascii="Tahoma" w:hAnsi="Tahoma" w:cs="Tahoma"/>
        </w:rPr>
        <w:t>.</w:t>
      </w:r>
      <w:r w:rsidR="006D354C">
        <w:rPr>
          <w:rFonts w:ascii="Tahoma" w:hAnsi="Tahoma" w:cs="Tahoma"/>
        </w:rPr>
        <w:t xml:space="preserve">000; con el resultado realizado </w:t>
      </w:r>
      <w:r w:rsidR="0093368D">
        <w:rPr>
          <w:rFonts w:ascii="Tahoma" w:hAnsi="Tahoma" w:cs="Tahoma"/>
        </w:rPr>
        <w:t xml:space="preserve"> a septiembre de 2019, </w:t>
      </w:r>
      <w:r w:rsidR="006D354C">
        <w:rPr>
          <w:rFonts w:ascii="Tahoma" w:hAnsi="Tahoma" w:cs="Tahoma"/>
        </w:rPr>
        <w:t xml:space="preserve">el impacto social no cubrió </w:t>
      </w:r>
      <w:r w:rsidR="0093368D">
        <w:rPr>
          <w:rFonts w:ascii="Tahoma" w:hAnsi="Tahoma" w:cs="Tahoma"/>
        </w:rPr>
        <w:t>lo planeado por la institución.</w:t>
      </w:r>
    </w:p>
    <w:p w14:paraId="1ABC5C2C" w14:textId="77777777" w:rsidR="002C3AFA" w:rsidRDefault="002C3AFA" w:rsidP="00C2771B">
      <w:pPr>
        <w:jc w:val="both"/>
        <w:rPr>
          <w:rFonts w:ascii="Tahoma" w:hAnsi="Tahoma" w:cs="Tahoma"/>
          <w:b/>
          <w:bCs/>
          <w:i/>
          <w:iCs/>
        </w:rPr>
      </w:pPr>
    </w:p>
    <w:p w14:paraId="68096812" w14:textId="533994E9" w:rsidR="002C3AFA" w:rsidRDefault="002C3AFA" w:rsidP="00C2771B">
      <w:pPr>
        <w:jc w:val="both"/>
        <w:rPr>
          <w:rFonts w:ascii="Tahoma" w:hAnsi="Tahoma" w:cs="Tahoma"/>
          <w:b/>
          <w:bCs/>
          <w:i/>
          <w:iCs/>
        </w:rPr>
      </w:pPr>
      <w:r>
        <w:rPr>
          <w:rFonts w:ascii="Tahoma" w:hAnsi="Tahoma" w:cs="Tahoma"/>
          <w:b/>
          <w:bCs/>
          <w:i/>
          <w:iCs/>
        </w:rPr>
        <w:t>Progresa</w:t>
      </w:r>
    </w:p>
    <w:p w14:paraId="63128A94" w14:textId="595B4B19" w:rsidR="004634BD" w:rsidRDefault="004634BD" w:rsidP="00C2771B">
      <w:pPr>
        <w:jc w:val="both"/>
        <w:rPr>
          <w:rFonts w:ascii="Tahoma" w:hAnsi="Tahoma" w:cs="Tahoma"/>
          <w:b/>
          <w:bCs/>
          <w:i/>
          <w:iCs/>
        </w:rPr>
      </w:pPr>
    </w:p>
    <w:p w14:paraId="1E5CD72D" w14:textId="389A0003" w:rsidR="004634BD" w:rsidRPr="00BB4818" w:rsidRDefault="004634BD" w:rsidP="00C2771B">
      <w:pPr>
        <w:jc w:val="both"/>
        <w:rPr>
          <w:rFonts w:ascii="Tahoma" w:hAnsi="Tahoma" w:cs="Tahoma"/>
          <w:i/>
          <w:iCs/>
        </w:rPr>
      </w:pPr>
      <w:r>
        <w:rPr>
          <w:rFonts w:ascii="Tahoma" w:hAnsi="Tahoma" w:cs="Tahoma"/>
          <w:i/>
          <w:iCs/>
        </w:rPr>
        <w:t xml:space="preserve">Desde el año de 2018, se implemento el </w:t>
      </w:r>
      <w:r w:rsidRPr="007922C2">
        <w:rPr>
          <w:rFonts w:ascii="Tahoma" w:hAnsi="Tahoma" w:cs="Tahoma"/>
          <w:b/>
          <w:bCs/>
          <w:i/>
          <w:iCs/>
        </w:rPr>
        <w:t>proyecto progresa</w:t>
      </w:r>
      <w:r>
        <w:rPr>
          <w:rFonts w:ascii="Tahoma" w:hAnsi="Tahoma" w:cs="Tahoma"/>
          <w:i/>
          <w:iCs/>
        </w:rPr>
        <w:t xml:space="preserve">, </w:t>
      </w:r>
      <w:r w:rsidR="00BB4818">
        <w:rPr>
          <w:rFonts w:ascii="Tahoma" w:hAnsi="Tahoma" w:cs="Tahoma"/>
          <w:i/>
          <w:iCs/>
        </w:rPr>
        <w:t xml:space="preserve"> el primer año 2018, </w:t>
      </w:r>
      <w:r>
        <w:rPr>
          <w:rFonts w:ascii="Tahoma" w:hAnsi="Tahoma" w:cs="Tahoma"/>
          <w:i/>
          <w:iCs/>
        </w:rPr>
        <w:t xml:space="preserve"> con la cámara de comercio y este año </w:t>
      </w:r>
      <w:r w:rsidR="00BB4818">
        <w:rPr>
          <w:rFonts w:ascii="Tahoma" w:hAnsi="Tahoma" w:cs="Tahoma"/>
          <w:i/>
          <w:iCs/>
        </w:rPr>
        <w:t xml:space="preserve"> 2019 </w:t>
      </w:r>
      <w:r>
        <w:rPr>
          <w:rFonts w:ascii="Tahoma" w:hAnsi="Tahoma" w:cs="Tahoma"/>
          <w:i/>
          <w:iCs/>
        </w:rPr>
        <w:t xml:space="preserve">con Comfenalco y </w:t>
      </w:r>
      <w:r w:rsidR="00BB4818">
        <w:rPr>
          <w:rFonts w:ascii="Tahoma" w:hAnsi="Tahoma" w:cs="Tahoma"/>
          <w:i/>
          <w:iCs/>
        </w:rPr>
        <w:t>C</w:t>
      </w:r>
      <w:r>
        <w:rPr>
          <w:rFonts w:ascii="Tahoma" w:hAnsi="Tahoma" w:cs="Tahoma"/>
          <w:i/>
          <w:iCs/>
        </w:rPr>
        <w:t xml:space="preserve">ámara de </w:t>
      </w:r>
      <w:r w:rsidR="00BB4818">
        <w:rPr>
          <w:rFonts w:ascii="Tahoma" w:hAnsi="Tahoma" w:cs="Tahoma"/>
          <w:i/>
          <w:iCs/>
        </w:rPr>
        <w:t>C</w:t>
      </w:r>
      <w:r>
        <w:rPr>
          <w:rFonts w:ascii="Tahoma" w:hAnsi="Tahoma" w:cs="Tahoma"/>
          <w:i/>
          <w:iCs/>
        </w:rPr>
        <w:t>omercio, con el propósito de consolidar el emprendimiento, fortalecimiento y política de empleo;</w:t>
      </w:r>
      <w:r w:rsidR="007922C2">
        <w:rPr>
          <w:rFonts w:ascii="Tahoma" w:hAnsi="Tahoma" w:cs="Tahoma"/>
          <w:i/>
          <w:iCs/>
        </w:rPr>
        <w:t xml:space="preserve"> lo evidenciado por la oficina de control interno</w:t>
      </w:r>
      <w:r w:rsidR="00BB4818">
        <w:rPr>
          <w:rFonts w:ascii="Tahoma" w:hAnsi="Tahoma" w:cs="Tahoma"/>
          <w:i/>
          <w:iCs/>
        </w:rPr>
        <w:t>,</w:t>
      </w:r>
      <w:r w:rsidR="007922C2">
        <w:rPr>
          <w:rFonts w:ascii="Tahoma" w:hAnsi="Tahoma" w:cs="Tahoma"/>
          <w:i/>
          <w:iCs/>
        </w:rPr>
        <w:t xml:space="preserve"> a los resultados por parte de los contratados con relación a la política de empleo, esta no ha sido favorable a la comunidad donde esta ubicado los centros progresas; rompiendo el principio de </w:t>
      </w:r>
      <w:r w:rsidR="007922C2" w:rsidRPr="00BB4818">
        <w:rPr>
          <w:rFonts w:ascii="Tahoma" w:hAnsi="Tahoma" w:cs="Tahoma"/>
          <w:i/>
          <w:iCs/>
        </w:rPr>
        <w:t xml:space="preserve">eficacia contemplado con el </w:t>
      </w:r>
      <w:r w:rsidR="00BB4818" w:rsidRPr="00BB4818">
        <w:rPr>
          <w:rFonts w:ascii="Tahoma" w:hAnsi="Tahoma" w:cs="Tahoma"/>
          <w:i/>
          <w:iCs/>
        </w:rPr>
        <w:t>ar</w:t>
      </w:r>
      <w:r w:rsidR="007922C2" w:rsidRPr="00BB4818">
        <w:rPr>
          <w:rFonts w:ascii="Tahoma" w:hAnsi="Tahoma" w:cs="Tahoma"/>
          <w:i/>
          <w:iCs/>
        </w:rPr>
        <w:t>t</w:t>
      </w:r>
      <w:r w:rsidR="00BB4818" w:rsidRPr="00BB4818">
        <w:rPr>
          <w:rFonts w:ascii="Tahoma" w:hAnsi="Tahoma" w:cs="Tahoma"/>
          <w:i/>
          <w:iCs/>
        </w:rPr>
        <w:t>í</w:t>
      </w:r>
      <w:r w:rsidR="007922C2" w:rsidRPr="00BB4818">
        <w:rPr>
          <w:rFonts w:ascii="Tahoma" w:hAnsi="Tahoma" w:cs="Tahoma"/>
          <w:i/>
          <w:iCs/>
        </w:rPr>
        <w:t xml:space="preserve">culo </w:t>
      </w:r>
      <w:r w:rsidR="006C4EB8">
        <w:rPr>
          <w:rFonts w:ascii="Tahoma" w:hAnsi="Tahoma" w:cs="Tahoma"/>
          <w:i/>
          <w:iCs/>
        </w:rPr>
        <w:t>209</w:t>
      </w:r>
      <w:bookmarkStart w:id="0" w:name="_GoBack"/>
      <w:bookmarkEnd w:id="0"/>
      <w:r w:rsidR="007922C2" w:rsidRPr="00BB4818">
        <w:rPr>
          <w:rFonts w:ascii="Tahoma" w:hAnsi="Tahoma" w:cs="Tahoma"/>
          <w:i/>
          <w:iCs/>
        </w:rPr>
        <w:t xml:space="preserve"> de la constitución política de Colombia</w:t>
      </w:r>
      <w:r w:rsidR="00BB4818">
        <w:rPr>
          <w:rFonts w:ascii="Tahoma" w:hAnsi="Tahoma" w:cs="Tahoma"/>
          <w:i/>
          <w:iCs/>
        </w:rPr>
        <w:t>.</w:t>
      </w:r>
      <w:r w:rsidR="007922C2" w:rsidRPr="00BB4818">
        <w:rPr>
          <w:rFonts w:ascii="Tahoma" w:hAnsi="Tahoma" w:cs="Tahoma"/>
          <w:i/>
          <w:iCs/>
        </w:rPr>
        <w:t xml:space="preserve"> </w:t>
      </w:r>
    </w:p>
    <w:p w14:paraId="31D03D87" w14:textId="1CD5315F" w:rsidR="002C3AFA" w:rsidRDefault="002C3AFA" w:rsidP="00C2771B">
      <w:pPr>
        <w:jc w:val="both"/>
        <w:rPr>
          <w:rFonts w:ascii="Tahoma" w:hAnsi="Tahoma" w:cs="Tahoma"/>
          <w:b/>
          <w:bCs/>
          <w:i/>
          <w:iCs/>
        </w:rPr>
      </w:pPr>
    </w:p>
    <w:p w14:paraId="39D3CE5F" w14:textId="0DA0E995" w:rsidR="002C3AFA" w:rsidRDefault="002C3AFA" w:rsidP="00C2771B">
      <w:pPr>
        <w:jc w:val="both"/>
        <w:rPr>
          <w:rFonts w:ascii="Tahoma" w:hAnsi="Tahoma" w:cs="Tahoma"/>
          <w:b/>
          <w:bCs/>
          <w:i/>
          <w:iCs/>
        </w:rPr>
      </w:pPr>
    </w:p>
    <w:p w14:paraId="712DAF26" w14:textId="00A54396" w:rsidR="002C3AFA" w:rsidRDefault="002C3AFA" w:rsidP="00C2771B">
      <w:pPr>
        <w:jc w:val="both"/>
        <w:rPr>
          <w:rFonts w:ascii="Tahoma" w:hAnsi="Tahoma" w:cs="Tahoma"/>
          <w:b/>
          <w:bCs/>
          <w:i/>
          <w:iCs/>
        </w:rPr>
      </w:pPr>
    </w:p>
    <w:p w14:paraId="5F1E91DB" w14:textId="7F981696" w:rsidR="002C3AFA" w:rsidRPr="006C0744" w:rsidRDefault="002C3AFA" w:rsidP="00C2771B">
      <w:pPr>
        <w:jc w:val="both"/>
        <w:rPr>
          <w:rFonts w:ascii="Tahoma" w:hAnsi="Tahoma" w:cs="Tahoma"/>
          <w:b/>
          <w:bCs/>
          <w:i/>
          <w:iCs/>
        </w:rPr>
      </w:pPr>
      <w:r w:rsidRPr="006C0744">
        <w:rPr>
          <w:rFonts w:ascii="Tahoma" w:hAnsi="Tahoma" w:cs="Tahoma"/>
          <w:b/>
          <w:bCs/>
          <w:i/>
          <w:iCs/>
        </w:rPr>
        <w:t>Macroprocesos</w:t>
      </w:r>
    </w:p>
    <w:p w14:paraId="08A770FB" w14:textId="1AA603A9" w:rsidR="00BB4818" w:rsidRPr="006C0744" w:rsidRDefault="00BB4818" w:rsidP="00C2771B">
      <w:pPr>
        <w:jc w:val="both"/>
        <w:rPr>
          <w:rFonts w:ascii="Tahoma" w:hAnsi="Tahoma" w:cs="Tahoma"/>
          <w:b/>
          <w:bCs/>
          <w:i/>
          <w:iCs/>
        </w:rPr>
      </w:pPr>
    </w:p>
    <w:p w14:paraId="6DE71FE4" w14:textId="4B74125F" w:rsidR="00BB4818" w:rsidRPr="00712A23" w:rsidRDefault="00BB4818" w:rsidP="00C2771B">
      <w:pPr>
        <w:jc w:val="both"/>
        <w:rPr>
          <w:rFonts w:ascii="Tahoma" w:hAnsi="Tahoma" w:cs="Tahoma"/>
        </w:rPr>
      </w:pPr>
      <w:r w:rsidRPr="00712A23">
        <w:rPr>
          <w:rFonts w:ascii="Tahoma" w:hAnsi="Tahoma" w:cs="Tahoma"/>
        </w:rPr>
        <w:t>La oficina de control Interno varias veces a</w:t>
      </w:r>
      <w:r w:rsidR="004B629E" w:rsidRPr="00712A23">
        <w:rPr>
          <w:rFonts w:ascii="Tahoma" w:hAnsi="Tahoma" w:cs="Tahoma"/>
        </w:rPr>
        <w:t xml:space="preserve"> recomendado a la dirección </w:t>
      </w:r>
      <w:r w:rsidR="008922C9" w:rsidRPr="00712A23">
        <w:rPr>
          <w:rFonts w:ascii="Tahoma" w:hAnsi="Tahoma" w:cs="Tahoma"/>
        </w:rPr>
        <w:t xml:space="preserve"> de la entidad </w:t>
      </w:r>
      <w:r w:rsidR="004B629E" w:rsidRPr="00712A23">
        <w:rPr>
          <w:rFonts w:ascii="Tahoma" w:hAnsi="Tahoma" w:cs="Tahoma"/>
        </w:rPr>
        <w:t>y</w:t>
      </w:r>
      <w:r w:rsidR="008922C9" w:rsidRPr="00712A23">
        <w:rPr>
          <w:rFonts w:ascii="Tahoma" w:hAnsi="Tahoma" w:cs="Tahoma"/>
        </w:rPr>
        <w:t xml:space="preserve"> a la</w:t>
      </w:r>
      <w:r w:rsidR="004B629E" w:rsidRPr="00712A23">
        <w:rPr>
          <w:rFonts w:ascii="Tahoma" w:hAnsi="Tahoma" w:cs="Tahoma"/>
        </w:rPr>
        <w:t xml:space="preserve"> subdirección técnica de ajustar el mapa de los macroprocesos, en relación a la auditoria de calidad, teniendo en cuenta, que la empresa no tiene ninguna certificación de calidad, realizada</w:t>
      </w:r>
      <w:r w:rsidR="008922C9" w:rsidRPr="00712A23">
        <w:rPr>
          <w:rFonts w:ascii="Tahoma" w:hAnsi="Tahoma" w:cs="Tahoma"/>
        </w:rPr>
        <w:t xml:space="preserve"> por incontec</w:t>
      </w:r>
      <w:r w:rsidR="00836A8F">
        <w:rPr>
          <w:rFonts w:ascii="Tahoma" w:hAnsi="Tahoma" w:cs="Tahoma"/>
        </w:rPr>
        <w:t xml:space="preserve"> u otra firma certificadora</w:t>
      </w:r>
      <w:r w:rsidR="008922C9" w:rsidRPr="00712A23">
        <w:rPr>
          <w:rFonts w:ascii="Tahoma" w:hAnsi="Tahoma" w:cs="Tahoma"/>
        </w:rPr>
        <w:t>, la visión de la oficina de control interno</w:t>
      </w:r>
      <w:r w:rsidR="00836A8F">
        <w:rPr>
          <w:rFonts w:ascii="Tahoma" w:hAnsi="Tahoma" w:cs="Tahoma"/>
        </w:rPr>
        <w:t>,</w:t>
      </w:r>
      <w:r w:rsidR="008922C9" w:rsidRPr="00712A23">
        <w:rPr>
          <w:rFonts w:ascii="Tahoma" w:hAnsi="Tahoma" w:cs="Tahoma"/>
        </w:rPr>
        <w:t xml:space="preserve"> es que esta evaluación de calidad y proceso de auditoria  debe darse en los procesos de la entidad como lo contempla el MIPG, el único investido de esta responsabilidad en auditar los procesos es la oficina de control interno. Ley 87 de 1993.</w:t>
      </w:r>
    </w:p>
    <w:p w14:paraId="712F37A8" w14:textId="3B770FF5" w:rsidR="008922C9" w:rsidRDefault="008922C9" w:rsidP="00C2771B">
      <w:pPr>
        <w:jc w:val="both"/>
        <w:rPr>
          <w:rFonts w:ascii="Tahoma" w:hAnsi="Tahoma" w:cs="Tahoma"/>
          <w:i/>
          <w:iCs/>
        </w:rPr>
      </w:pPr>
    </w:p>
    <w:p w14:paraId="61AC0172" w14:textId="5F80269C" w:rsidR="008922C9" w:rsidRPr="006C0744" w:rsidRDefault="008922C9" w:rsidP="00C2771B">
      <w:pPr>
        <w:jc w:val="both"/>
        <w:rPr>
          <w:rFonts w:ascii="Tahoma" w:hAnsi="Tahoma" w:cs="Tahoma"/>
          <w:b/>
          <w:bCs/>
          <w:i/>
          <w:iCs/>
        </w:rPr>
      </w:pPr>
      <w:r w:rsidRPr="006C0744">
        <w:rPr>
          <w:rFonts w:ascii="Tahoma" w:hAnsi="Tahoma" w:cs="Tahoma"/>
          <w:b/>
          <w:bCs/>
          <w:i/>
          <w:iCs/>
        </w:rPr>
        <w:t>Valores Institucionales</w:t>
      </w:r>
    </w:p>
    <w:p w14:paraId="5256285B" w14:textId="4E57044C" w:rsidR="008922C9" w:rsidRDefault="008922C9" w:rsidP="00C2771B">
      <w:pPr>
        <w:jc w:val="both"/>
        <w:rPr>
          <w:rFonts w:ascii="Tahoma" w:hAnsi="Tahoma" w:cs="Tahoma"/>
          <w:i/>
          <w:iCs/>
        </w:rPr>
      </w:pPr>
    </w:p>
    <w:p w14:paraId="7B4CBE42" w14:textId="2B8EF1CF" w:rsidR="008922C9" w:rsidRPr="00712A23" w:rsidRDefault="00712A23" w:rsidP="00C2771B">
      <w:pPr>
        <w:jc w:val="both"/>
        <w:rPr>
          <w:rFonts w:ascii="Tahoma" w:hAnsi="Tahoma" w:cs="Tahoma"/>
        </w:rPr>
      </w:pPr>
      <w:r>
        <w:rPr>
          <w:rFonts w:ascii="Tahoma" w:hAnsi="Tahoma" w:cs="Tahoma"/>
        </w:rPr>
        <w:t>A</w:t>
      </w:r>
      <w:r w:rsidR="008922C9" w:rsidRPr="00712A23">
        <w:rPr>
          <w:rFonts w:ascii="Tahoma" w:hAnsi="Tahoma" w:cs="Tahoma"/>
        </w:rPr>
        <w:t xml:space="preserve"> la evidencia en los procesos evaluados por la oficina de control interno con relación a los valores institucionales, denota</w:t>
      </w:r>
      <w:r>
        <w:rPr>
          <w:rFonts w:ascii="Tahoma" w:hAnsi="Tahoma" w:cs="Tahoma"/>
        </w:rPr>
        <w:t>,</w:t>
      </w:r>
      <w:r w:rsidR="008922C9" w:rsidRPr="00712A23">
        <w:rPr>
          <w:rFonts w:ascii="Tahoma" w:hAnsi="Tahoma" w:cs="Tahoma"/>
        </w:rPr>
        <w:t xml:space="preserve"> que si bien son aplicados </w:t>
      </w:r>
      <w:r w:rsidR="00836A8F">
        <w:rPr>
          <w:rFonts w:ascii="Tahoma" w:hAnsi="Tahoma" w:cs="Tahoma"/>
        </w:rPr>
        <w:t>los</w:t>
      </w:r>
      <w:r w:rsidR="008922C9" w:rsidRPr="00712A23">
        <w:rPr>
          <w:rFonts w:ascii="Tahoma" w:hAnsi="Tahoma" w:cs="Tahoma"/>
        </w:rPr>
        <w:t xml:space="preserve"> valores en el desarrollo de las actividades de la subdirección técnica</w:t>
      </w:r>
      <w:r w:rsidR="006C0744" w:rsidRPr="00712A23">
        <w:rPr>
          <w:rFonts w:ascii="Tahoma" w:hAnsi="Tahoma" w:cs="Tahoma"/>
        </w:rPr>
        <w:t xml:space="preserve"> </w:t>
      </w:r>
      <w:r w:rsidR="008922C9" w:rsidRPr="00712A23">
        <w:rPr>
          <w:rFonts w:ascii="Tahoma" w:hAnsi="Tahoma" w:cs="Tahoma"/>
        </w:rPr>
        <w:t xml:space="preserve">es sus procesos, ella no tiene </w:t>
      </w:r>
      <w:r w:rsidR="006C0744" w:rsidRPr="00712A23">
        <w:rPr>
          <w:rFonts w:ascii="Tahoma" w:hAnsi="Tahoma" w:cs="Tahoma"/>
        </w:rPr>
        <w:t>como evidenciar la aplicabilidad en los mismos</w:t>
      </w:r>
      <w:r w:rsidR="00836A8F">
        <w:rPr>
          <w:rFonts w:ascii="Tahoma" w:hAnsi="Tahoma" w:cs="Tahoma"/>
        </w:rPr>
        <w:t>,</w:t>
      </w:r>
      <w:r w:rsidR="006C0744" w:rsidRPr="00712A23">
        <w:rPr>
          <w:rFonts w:ascii="Tahoma" w:hAnsi="Tahoma" w:cs="Tahoma"/>
        </w:rPr>
        <w:t xml:space="preserve"> como lo demanda el Código de integridad ordenado por el MIPG.</w:t>
      </w:r>
    </w:p>
    <w:p w14:paraId="4DD17CBA" w14:textId="78AAD13F" w:rsidR="006C0744" w:rsidRPr="00712A23" w:rsidRDefault="006C0744" w:rsidP="00C2771B">
      <w:pPr>
        <w:jc w:val="both"/>
        <w:rPr>
          <w:rFonts w:ascii="Tahoma" w:hAnsi="Tahoma" w:cs="Tahoma"/>
        </w:rPr>
      </w:pPr>
    </w:p>
    <w:p w14:paraId="4C2A4A62" w14:textId="09100B72" w:rsidR="006C0744" w:rsidRPr="00712A23" w:rsidRDefault="006C0744" w:rsidP="00C2771B">
      <w:pPr>
        <w:jc w:val="both"/>
        <w:rPr>
          <w:rFonts w:ascii="Tahoma" w:hAnsi="Tahoma" w:cs="Tahoma"/>
        </w:rPr>
      </w:pPr>
      <w:r w:rsidRPr="00712A23">
        <w:rPr>
          <w:rFonts w:ascii="Tahoma" w:hAnsi="Tahoma" w:cs="Tahoma"/>
        </w:rPr>
        <w:t>Esta son las observaciones de gestión realizadas por la oficina de control interno a la subdirección técnica de  Instituto municipal de Empleo y Fomento Empresarial de Bucaramanga, en realización de la auditoria programada en la vigencia de 2019</w:t>
      </w:r>
      <w:r w:rsidRPr="000162D0">
        <w:rPr>
          <w:rFonts w:ascii="Tahoma" w:hAnsi="Tahoma" w:cs="Tahoma"/>
          <w:b/>
          <w:bCs/>
          <w:i/>
          <w:iCs/>
        </w:rPr>
        <w:t>;  la subdirección tiene cinco (5) días hábiles para presentar sus consideraciones en contrario y anexar soportes que desvirtúen lo señalado por la oficina de control interno;</w:t>
      </w:r>
      <w:r w:rsidRPr="00712A23">
        <w:rPr>
          <w:rFonts w:ascii="Tahoma" w:hAnsi="Tahoma" w:cs="Tahoma"/>
        </w:rPr>
        <w:t xml:space="preserve"> al no presentar ninguna respuesta  a estas observaciones, la oficina de control interno las considerara hallazgos y procederá a solicitar el plan de mejoramiento a las mismas. </w:t>
      </w:r>
    </w:p>
    <w:p w14:paraId="4793DC92" w14:textId="0E81A3CF" w:rsidR="006C0744" w:rsidRPr="00712A23" w:rsidRDefault="006C0744" w:rsidP="00C2771B">
      <w:pPr>
        <w:jc w:val="both"/>
        <w:rPr>
          <w:rFonts w:ascii="Tahoma" w:hAnsi="Tahoma" w:cs="Tahoma"/>
        </w:rPr>
      </w:pPr>
    </w:p>
    <w:p w14:paraId="1E75FCB7" w14:textId="2F6CBB05" w:rsidR="006C0744" w:rsidRDefault="006C0744" w:rsidP="00C2771B">
      <w:pPr>
        <w:jc w:val="both"/>
        <w:rPr>
          <w:rFonts w:ascii="Tahoma" w:hAnsi="Tahoma" w:cs="Tahoma"/>
          <w:i/>
          <w:iCs/>
        </w:rPr>
      </w:pPr>
    </w:p>
    <w:p w14:paraId="794F6DAE" w14:textId="772F9542" w:rsidR="006C0744" w:rsidRDefault="006C0744" w:rsidP="00C2771B">
      <w:pPr>
        <w:jc w:val="both"/>
        <w:rPr>
          <w:rFonts w:ascii="Tahoma" w:hAnsi="Tahoma" w:cs="Tahoma"/>
          <w:i/>
          <w:iCs/>
        </w:rPr>
      </w:pPr>
    </w:p>
    <w:p w14:paraId="777DF84A" w14:textId="2B1A15A9" w:rsidR="006C0744" w:rsidRDefault="006C0744" w:rsidP="00C2771B">
      <w:pPr>
        <w:jc w:val="both"/>
        <w:rPr>
          <w:rFonts w:ascii="Tahoma" w:hAnsi="Tahoma" w:cs="Tahoma"/>
          <w:i/>
          <w:iCs/>
        </w:rPr>
      </w:pPr>
      <w:r>
        <w:rPr>
          <w:rFonts w:ascii="Tahoma" w:hAnsi="Tahoma" w:cs="Tahoma"/>
          <w:i/>
          <w:iCs/>
        </w:rPr>
        <w:t>Atentamente,</w:t>
      </w:r>
    </w:p>
    <w:p w14:paraId="22BDD069" w14:textId="66F101B7" w:rsidR="006C0744" w:rsidRDefault="006C0744" w:rsidP="00C2771B">
      <w:pPr>
        <w:jc w:val="both"/>
        <w:rPr>
          <w:rFonts w:ascii="Tahoma" w:hAnsi="Tahoma" w:cs="Tahoma"/>
          <w:i/>
          <w:iCs/>
        </w:rPr>
      </w:pPr>
    </w:p>
    <w:p w14:paraId="46DBC4D0" w14:textId="781A38A6" w:rsidR="006C0744" w:rsidRDefault="006C0744" w:rsidP="00C2771B">
      <w:pPr>
        <w:jc w:val="both"/>
        <w:rPr>
          <w:rFonts w:ascii="Tahoma" w:hAnsi="Tahoma" w:cs="Tahoma"/>
          <w:i/>
          <w:iCs/>
        </w:rPr>
      </w:pPr>
    </w:p>
    <w:p w14:paraId="20FC3763" w14:textId="7784E559" w:rsidR="006C0744" w:rsidRDefault="006C0744" w:rsidP="00C2771B">
      <w:pPr>
        <w:jc w:val="both"/>
        <w:rPr>
          <w:rFonts w:ascii="Tahoma" w:hAnsi="Tahoma" w:cs="Tahoma"/>
          <w:i/>
          <w:iCs/>
        </w:rPr>
      </w:pPr>
    </w:p>
    <w:p w14:paraId="405F6D16" w14:textId="27E8B23F" w:rsidR="006C0744" w:rsidRDefault="006C0744" w:rsidP="00C2771B">
      <w:pPr>
        <w:jc w:val="both"/>
        <w:rPr>
          <w:rFonts w:ascii="Tahoma" w:hAnsi="Tahoma" w:cs="Tahoma"/>
          <w:i/>
          <w:iCs/>
        </w:rPr>
      </w:pPr>
    </w:p>
    <w:p w14:paraId="250AD8C8" w14:textId="77777777" w:rsidR="006C0744" w:rsidRDefault="006C0744" w:rsidP="00C2771B">
      <w:pPr>
        <w:jc w:val="both"/>
        <w:rPr>
          <w:rFonts w:ascii="Tahoma" w:hAnsi="Tahoma" w:cs="Tahoma"/>
          <w:i/>
          <w:iCs/>
        </w:rPr>
      </w:pPr>
    </w:p>
    <w:p w14:paraId="2E72B096" w14:textId="299689F9" w:rsidR="006C0744" w:rsidRDefault="006C0744" w:rsidP="00C2771B">
      <w:pPr>
        <w:jc w:val="both"/>
        <w:rPr>
          <w:rFonts w:ascii="Tahoma" w:hAnsi="Tahoma" w:cs="Tahoma"/>
          <w:i/>
          <w:iCs/>
        </w:rPr>
      </w:pPr>
      <w:r>
        <w:rPr>
          <w:rFonts w:ascii="Tahoma" w:hAnsi="Tahoma" w:cs="Tahoma"/>
          <w:i/>
          <w:iCs/>
        </w:rPr>
        <w:t>Jorge Enrique Pachón Arciniegas</w:t>
      </w:r>
    </w:p>
    <w:p w14:paraId="0F37DD17" w14:textId="33FC7799" w:rsidR="006C0744" w:rsidRPr="008922C9" w:rsidRDefault="006C0744" w:rsidP="00C2771B">
      <w:pPr>
        <w:jc w:val="both"/>
        <w:rPr>
          <w:rFonts w:ascii="Tahoma" w:hAnsi="Tahoma" w:cs="Tahoma"/>
          <w:i/>
          <w:iCs/>
        </w:rPr>
      </w:pPr>
      <w:r>
        <w:rPr>
          <w:rFonts w:ascii="Tahoma" w:hAnsi="Tahoma" w:cs="Tahoma"/>
          <w:i/>
          <w:iCs/>
        </w:rPr>
        <w:t>Jefe de la Oficina de Control Interno Imebu</w:t>
      </w:r>
    </w:p>
    <w:sectPr w:rsidR="006C0744" w:rsidRPr="008922C9" w:rsidSect="004E6D98">
      <w:headerReference w:type="default" r:id="rId8"/>
      <w:pgSz w:w="12240" w:h="15840" w:code="1"/>
      <w:pgMar w:top="1710" w:right="1701" w:bottom="1417" w:left="170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9961E6" w14:textId="77777777" w:rsidR="00D62FF9" w:rsidRDefault="00D62FF9" w:rsidP="005F09F5">
      <w:r>
        <w:separator/>
      </w:r>
    </w:p>
  </w:endnote>
  <w:endnote w:type="continuationSeparator" w:id="0">
    <w:p w14:paraId="3112FE4C" w14:textId="77777777" w:rsidR="00D62FF9" w:rsidRDefault="00D62FF9" w:rsidP="005F0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F9CE2F" w14:textId="77777777" w:rsidR="00D62FF9" w:rsidRDefault="00D62FF9" w:rsidP="005F09F5">
      <w:r>
        <w:separator/>
      </w:r>
    </w:p>
  </w:footnote>
  <w:footnote w:type="continuationSeparator" w:id="0">
    <w:p w14:paraId="1AEB3DAE" w14:textId="77777777" w:rsidR="00D62FF9" w:rsidRDefault="00D62FF9" w:rsidP="005F0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D96529" w14:textId="760C2ECD" w:rsidR="0049147E" w:rsidRDefault="005F09F5" w:rsidP="00FB1193">
    <w:pPr>
      <w:pStyle w:val="Encabezado"/>
      <w:jc w:val="right"/>
    </w:pPr>
    <w:r>
      <w:rPr>
        <w:noProof/>
        <w:lang w:val="es-CO" w:eastAsia="es-CO"/>
      </w:rPr>
      <mc:AlternateContent>
        <mc:Choice Requires="wps">
          <w:drawing>
            <wp:anchor distT="45720" distB="45720" distL="114300" distR="114300" simplePos="0" relativeHeight="251657215" behindDoc="0" locked="0" layoutInCell="1" allowOverlap="1" wp14:anchorId="7C9DAD40" wp14:editId="480C6DC1">
              <wp:simplePos x="0" y="0"/>
              <wp:positionH relativeFrom="column">
                <wp:posOffset>-151080</wp:posOffset>
              </wp:positionH>
              <wp:positionV relativeFrom="paragraph">
                <wp:posOffset>-46761</wp:posOffset>
              </wp:positionV>
              <wp:extent cx="3589655" cy="1404620"/>
              <wp:effectExtent l="0" t="0" r="0" b="127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9655" cy="1404620"/>
                      </a:xfrm>
                      <a:prstGeom prst="rect">
                        <a:avLst/>
                      </a:prstGeom>
                      <a:solidFill>
                        <a:srgbClr val="FFFFFF"/>
                      </a:solidFill>
                      <a:ln w="9525">
                        <a:noFill/>
                        <a:miter lim="800000"/>
                        <a:headEnd/>
                        <a:tailEnd/>
                      </a:ln>
                    </wps:spPr>
                    <wps:txbx>
                      <w:txbxContent>
                        <w:p w14:paraId="6E8CAF21" w14:textId="77777777" w:rsidR="005F09F5" w:rsidRPr="00117253" w:rsidRDefault="005F09F5">
                          <w:pPr>
                            <w:rPr>
                              <w:rFonts w:ascii="Calibri" w:hAnsi="Calibri" w:cs="Calibri"/>
                              <w:b/>
                              <w:i/>
                              <w:sz w:val="40"/>
                            </w:rPr>
                          </w:pPr>
                          <w:r w:rsidRPr="00117253">
                            <w:rPr>
                              <w:rFonts w:ascii="Calibri" w:hAnsi="Calibri" w:cs="Calibri"/>
                              <w:b/>
                              <w:i/>
                              <w:sz w:val="40"/>
                            </w:rPr>
                            <w:t xml:space="preserve">INFORME DE GESTIÓN </w:t>
                          </w:r>
                        </w:p>
                        <w:p w14:paraId="262780EC" w14:textId="5BD7BB16" w:rsidR="005F09F5" w:rsidRPr="00117253" w:rsidRDefault="00FB1193">
                          <w:pPr>
                            <w:rPr>
                              <w:rFonts w:ascii="Calibri" w:hAnsi="Calibri" w:cs="Calibri"/>
                              <w:sz w:val="20"/>
                            </w:rPr>
                          </w:pPr>
                          <w:r>
                            <w:rPr>
                              <w:rFonts w:ascii="Calibri" w:hAnsi="Calibri" w:cs="Calibri"/>
                              <w:sz w:val="20"/>
                            </w:rPr>
                            <w:t>Oficina de Control Interno</w:t>
                          </w:r>
                          <w:r w:rsidR="005F09F5" w:rsidRPr="00117253">
                            <w:rPr>
                              <w:rFonts w:ascii="Calibri" w:hAnsi="Calibri" w:cs="Calibri"/>
                              <w:sz w:val="20"/>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C9DAD40" id="_x0000_t202" coordsize="21600,21600" o:spt="202" path="m,l,21600r21600,l21600,xe">
              <v:stroke joinstyle="miter"/>
              <v:path gradientshapeok="t" o:connecttype="rect"/>
            </v:shapetype>
            <v:shape id="Cuadro de texto 2" o:spid="_x0000_s1026" type="#_x0000_t202" style="position:absolute;left:0;text-align:left;margin-left:-11.9pt;margin-top:-3.7pt;width:282.65pt;height:110.6pt;z-index:25165721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" stroked="f">
              <v:textbox style="mso-fit-shape-to-text:t">
                <w:txbxContent>
                  <w:p w14:paraId="6E8CAF21" w14:textId="77777777" w:rsidR="005F09F5" w:rsidRPr="00117253" w:rsidRDefault="005F09F5">
                    <w:pPr>
                      <w:rPr>
                        <w:rFonts w:ascii="Calibri" w:hAnsi="Calibri" w:cs="Calibri"/>
                        <w:b/>
                        <w:i/>
                        <w:sz w:val="40"/>
                      </w:rPr>
                    </w:pPr>
                    <w:r w:rsidRPr="00117253">
                      <w:rPr>
                        <w:rFonts w:ascii="Calibri" w:hAnsi="Calibri" w:cs="Calibri"/>
                        <w:b/>
                        <w:i/>
                        <w:sz w:val="40"/>
                      </w:rPr>
                      <w:t xml:space="preserve">INFORME DE GESTIÓN </w:t>
                    </w:r>
                  </w:p>
                  <w:p w14:paraId="262780EC" w14:textId="5BD7BB16" w:rsidR="005F09F5" w:rsidRPr="00117253" w:rsidRDefault="00FB1193">
                    <w:pPr>
                      <w:rPr>
                        <w:rFonts w:ascii="Calibri" w:hAnsi="Calibri" w:cs="Calibri"/>
                        <w:sz w:val="20"/>
                      </w:rPr>
                    </w:pPr>
                    <w:r>
                      <w:rPr>
                        <w:rFonts w:ascii="Calibri" w:hAnsi="Calibri" w:cs="Calibri"/>
                        <w:sz w:val="20"/>
                      </w:rPr>
                      <w:t>Oficina de Control Interno</w:t>
                    </w:r>
                    <w:r w:rsidR="005F09F5" w:rsidRPr="00117253">
                      <w:rPr>
                        <w:rFonts w:ascii="Calibri" w:hAnsi="Calibri" w:cs="Calibri"/>
                        <w:sz w:val="20"/>
                      </w:rPr>
                      <w:t xml:space="preserve"> </w:t>
                    </w:r>
                  </w:p>
                </w:txbxContent>
              </v:textbox>
              <w10:wrap type="square"/>
            </v:shape>
          </w:pict>
        </mc:Fallback>
      </mc:AlternateContent>
    </w:r>
    <w:r w:rsidRPr="005F09F5">
      <w:rPr>
        <w:noProof/>
        <w:lang w:val="es-CO" w:eastAsia="es-CO"/>
      </w:rPr>
      <w:drawing>
        <wp:anchor distT="0" distB="0" distL="114300" distR="114300" simplePos="0" relativeHeight="251659264" behindDoc="0" locked="0" layoutInCell="1" allowOverlap="1" wp14:anchorId="1FDB688C" wp14:editId="3F4677C2">
          <wp:simplePos x="0" y="0"/>
          <wp:positionH relativeFrom="column">
            <wp:posOffset>3359582</wp:posOffset>
          </wp:positionH>
          <wp:positionV relativeFrom="paragraph">
            <wp:posOffset>-217170</wp:posOffset>
          </wp:positionV>
          <wp:extent cx="753110" cy="712470"/>
          <wp:effectExtent l="0" t="0" r="8890" b="0"/>
          <wp:wrapSquare wrapText="bothSides"/>
          <wp:docPr id="8" name="Imagen 8" descr="D:\Documents\SubTecnica\1. Administrativo\LOGOS IMEBU\IMEBU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SubTecnica\1. Administrativo\LOGOS IMEBU\IMEBU_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3110" cy="712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09F5">
      <w:rPr>
        <w:noProof/>
        <w:lang w:val="es-CO" w:eastAsia="es-CO"/>
      </w:rPr>
      <w:drawing>
        <wp:anchor distT="0" distB="0" distL="114300" distR="114300" simplePos="0" relativeHeight="251658240" behindDoc="0" locked="0" layoutInCell="1" allowOverlap="1" wp14:anchorId="0D6D3076" wp14:editId="30E8D052">
          <wp:simplePos x="0" y="0"/>
          <wp:positionH relativeFrom="margin">
            <wp:posOffset>3873500</wp:posOffset>
          </wp:positionH>
          <wp:positionV relativeFrom="paragraph">
            <wp:posOffset>4877</wp:posOffset>
          </wp:positionV>
          <wp:extent cx="2628900" cy="511810"/>
          <wp:effectExtent l="0" t="0" r="0" b="0"/>
          <wp:wrapSquare wrapText="bothSides"/>
          <wp:docPr id="9" name="Imagen 9" descr="D:\Documents\SubTecnica\1. Administrativo\LOGOS IMEBU\LOGO ALCALDIA - PNG[9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SubTecnica\1. Administrativo\LOGOS IMEBU\LOGO ALCALDIA - PNG[953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628900" cy="5118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F456DA"/>
    <w:multiLevelType w:val="hybridMultilevel"/>
    <w:tmpl w:val="666CCB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75D116A"/>
    <w:multiLevelType w:val="hybridMultilevel"/>
    <w:tmpl w:val="9410A1B0"/>
    <w:lvl w:ilvl="0" w:tplc="640ECB66">
      <w:start w:val="49"/>
      <w:numFmt w:val="bullet"/>
      <w:lvlText w:val="-"/>
      <w:lvlJc w:val="left"/>
      <w:pPr>
        <w:ind w:left="720" w:hanging="360"/>
      </w:pPr>
      <w:rPr>
        <w:rFonts w:ascii="Tahoma" w:eastAsia="Calibri" w:hAnsi="Tahoma" w:cs="Tahom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816388B"/>
    <w:multiLevelType w:val="hybridMultilevel"/>
    <w:tmpl w:val="E8E2D646"/>
    <w:lvl w:ilvl="0" w:tplc="4C4EDF1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E39381A"/>
    <w:multiLevelType w:val="hybridMultilevel"/>
    <w:tmpl w:val="D72086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47E1D9B"/>
    <w:multiLevelType w:val="hybridMultilevel"/>
    <w:tmpl w:val="BA1673C6"/>
    <w:lvl w:ilvl="0" w:tplc="0332009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BE40B74"/>
    <w:multiLevelType w:val="hybridMultilevel"/>
    <w:tmpl w:val="CA860040"/>
    <w:lvl w:ilvl="0" w:tplc="1E68FF24">
      <w:start w:val="49"/>
      <w:numFmt w:val="bullet"/>
      <w:lvlText w:val="-"/>
      <w:lvlJc w:val="left"/>
      <w:pPr>
        <w:ind w:left="720" w:hanging="360"/>
      </w:pPr>
      <w:rPr>
        <w:rFonts w:ascii="Tahoma" w:eastAsia="Calibri" w:hAnsi="Tahoma" w:cs="Tahom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0AB440C"/>
    <w:multiLevelType w:val="hybridMultilevel"/>
    <w:tmpl w:val="A1EA03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301784E"/>
    <w:multiLevelType w:val="hybridMultilevel"/>
    <w:tmpl w:val="1DEADF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5983AA2"/>
    <w:multiLevelType w:val="hybridMultilevel"/>
    <w:tmpl w:val="F3F2194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171569D"/>
    <w:multiLevelType w:val="hybridMultilevel"/>
    <w:tmpl w:val="53FA250E"/>
    <w:lvl w:ilvl="0" w:tplc="EF46F010">
      <w:start w:val="49"/>
      <w:numFmt w:val="bullet"/>
      <w:lvlText w:val="-"/>
      <w:lvlJc w:val="left"/>
      <w:pPr>
        <w:ind w:left="720" w:hanging="360"/>
      </w:pPr>
      <w:rPr>
        <w:rFonts w:ascii="Tahoma" w:eastAsia="Calibri" w:hAnsi="Tahoma" w:cs="Tahom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5E649B6"/>
    <w:multiLevelType w:val="hybridMultilevel"/>
    <w:tmpl w:val="BB46DD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79C7C30"/>
    <w:multiLevelType w:val="multilevel"/>
    <w:tmpl w:val="163AF94A"/>
    <w:lvl w:ilvl="0">
      <w:start w:val="4"/>
      <w:numFmt w:val="decimal"/>
      <w:lvlText w:val="%1"/>
      <w:lvlJc w:val="left"/>
      <w:pPr>
        <w:ind w:left="360" w:hanging="36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7824" w:hanging="2160"/>
      </w:pPr>
      <w:rPr>
        <w:rFonts w:hint="default"/>
      </w:rPr>
    </w:lvl>
  </w:abstractNum>
  <w:abstractNum w:abstractNumId="12" w15:restartNumberingAfterBreak="0">
    <w:nsid w:val="54451998"/>
    <w:multiLevelType w:val="hybridMultilevel"/>
    <w:tmpl w:val="F89AE514"/>
    <w:lvl w:ilvl="0" w:tplc="C2B8C862">
      <w:numFmt w:val="bullet"/>
      <w:lvlText w:val="-"/>
      <w:lvlJc w:val="left"/>
      <w:pPr>
        <w:ind w:left="720" w:hanging="360"/>
      </w:pPr>
      <w:rPr>
        <w:rFonts w:ascii="Tahoma" w:eastAsia="Calibri" w:hAnsi="Tahoma" w:cs="Tahom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91B1DFF"/>
    <w:multiLevelType w:val="hybridMultilevel"/>
    <w:tmpl w:val="7F148932"/>
    <w:lvl w:ilvl="0" w:tplc="DA8CAC1E">
      <w:start w:val="49"/>
      <w:numFmt w:val="bullet"/>
      <w:lvlText w:val="-"/>
      <w:lvlJc w:val="left"/>
      <w:pPr>
        <w:ind w:left="720" w:hanging="360"/>
      </w:pPr>
      <w:rPr>
        <w:rFonts w:ascii="Tahoma" w:eastAsia="Calibri" w:hAnsi="Tahoma" w:cs="Tahoma"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5BA04F4F"/>
    <w:multiLevelType w:val="hybridMultilevel"/>
    <w:tmpl w:val="90F6D1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5F853D44"/>
    <w:multiLevelType w:val="hybridMultilevel"/>
    <w:tmpl w:val="13FE3BC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9622E6D"/>
    <w:multiLevelType w:val="multilevel"/>
    <w:tmpl w:val="B2D4047E"/>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2136" w:hanging="108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3192" w:hanging="1440"/>
      </w:pPr>
      <w:rPr>
        <w:rFonts w:hint="default"/>
      </w:rPr>
    </w:lvl>
    <w:lvl w:ilvl="5">
      <w:start w:val="1"/>
      <w:numFmt w:val="decimal"/>
      <w:isLgl/>
      <w:lvlText w:val="%1.%2.%3.%4.%5.%6."/>
      <w:lvlJc w:val="left"/>
      <w:pPr>
        <w:ind w:left="3900" w:hanging="1800"/>
      </w:pPr>
      <w:rPr>
        <w:rFonts w:hint="default"/>
      </w:rPr>
    </w:lvl>
    <w:lvl w:ilvl="6">
      <w:start w:val="1"/>
      <w:numFmt w:val="decimal"/>
      <w:isLgl/>
      <w:lvlText w:val="%1.%2.%3.%4.%5.%6.%7."/>
      <w:lvlJc w:val="left"/>
      <w:pPr>
        <w:ind w:left="4248" w:hanging="1800"/>
      </w:pPr>
      <w:rPr>
        <w:rFonts w:hint="default"/>
      </w:rPr>
    </w:lvl>
    <w:lvl w:ilvl="7">
      <w:start w:val="1"/>
      <w:numFmt w:val="decimal"/>
      <w:isLgl/>
      <w:lvlText w:val="%1.%2.%3.%4.%5.%6.%7.%8."/>
      <w:lvlJc w:val="left"/>
      <w:pPr>
        <w:ind w:left="4956" w:hanging="2160"/>
      </w:pPr>
      <w:rPr>
        <w:rFonts w:hint="default"/>
      </w:rPr>
    </w:lvl>
    <w:lvl w:ilvl="8">
      <w:start w:val="1"/>
      <w:numFmt w:val="decimal"/>
      <w:isLgl/>
      <w:lvlText w:val="%1.%2.%3.%4.%5.%6.%7.%8.%9."/>
      <w:lvlJc w:val="left"/>
      <w:pPr>
        <w:ind w:left="5664" w:hanging="2520"/>
      </w:pPr>
      <w:rPr>
        <w:rFonts w:hint="default"/>
      </w:rPr>
    </w:lvl>
  </w:abstractNum>
  <w:abstractNum w:abstractNumId="17" w15:restartNumberingAfterBreak="0">
    <w:nsid w:val="73F71518"/>
    <w:multiLevelType w:val="hybridMultilevel"/>
    <w:tmpl w:val="9C5E710E"/>
    <w:lvl w:ilvl="0" w:tplc="14F206F8">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4896F56"/>
    <w:multiLevelType w:val="hybridMultilevel"/>
    <w:tmpl w:val="22961A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2"/>
  </w:num>
  <w:num w:numId="4">
    <w:abstractNumId w:val="14"/>
  </w:num>
  <w:num w:numId="5">
    <w:abstractNumId w:val="16"/>
  </w:num>
  <w:num w:numId="6">
    <w:abstractNumId w:val="6"/>
  </w:num>
  <w:num w:numId="7">
    <w:abstractNumId w:val="11"/>
  </w:num>
  <w:num w:numId="8">
    <w:abstractNumId w:val="5"/>
  </w:num>
  <w:num w:numId="9">
    <w:abstractNumId w:val="9"/>
  </w:num>
  <w:num w:numId="10">
    <w:abstractNumId w:val="10"/>
  </w:num>
  <w:num w:numId="11">
    <w:abstractNumId w:val="12"/>
  </w:num>
  <w:num w:numId="12">
    <w:abstractNumId w:val="4"/>
  </w:num>
  <w:num w:numId="13">
    <w:abstractNumId w:val="1"/>
  </w:num>
  <w:num w:numId="14">
    <w:abstractNumId w:val="13"/>
  </w:num>
  <w:num w:numId="15">
    <w:abstractNumId w:val="8"/>
  </w:num>
  <w:num w:numId="16">
    <w:abstractNumId w:val="17"/>
  </w:num>
  <w:num w:numId="17">
    <w:abstractNumId w:val="15"/>
  </w:num>
  <w:num w:numId="18">
    <w:abstractNumId w:val="3"/>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9F5"/>
    <w:rsid w:val="00010855"/>
    <w:rsid w:val="00013E92"/>
    <w:rsid w:val="000162D0"/>
    <w:rsid w:val="00052D1A"/>
    <w:rsid w:val="00053488"/>
    <w:rsid w:val="00067033"/>
    <w:rsid w:val="00075FA7"/>
    <w:rsid w:val="000B001C"/>
    <w:rsid w:val="000D2F62"/>
    <w:rsid w:val="000F6F52"/>
    <w:rsid w:val="00104A8A"/>
    <w:rsid w:val="001110DB"/>
    <w:rsid w:val="001114EA"/>
    <w:rsid w:val="00112AE3"/>
    <w:rsid w:val="00113300"/>
    <w:rsid w:val="00117253"/>
    <w:rsid w:val="00123C57"/>
    <w:rsid w:val="001338FB"/>
    <w:rsid w:val="001368DD"/>
    <w:rsid w:val="00144711"/>
    <w:rsid w:val="001470D1"/>
    <w:rsid w:val="00171938"/>
    <w:rsid w:val="00185273"/>
    <w:rsid w:val="001A3DE7"/>
    <w:rsid w:val="001A7237"/>
    <w:rsid w:val="001B0BAA"/>
    <w:rsid w:val="001B2DA9"/>
    <w:rsid w:val="001B42D3"/>
    <w:rsid w:val="001C41FB"/>
    <w:rsid w:val="001D1BF9"/>
    <w:rsid w:val="001D337B"/>
    <w:rsid w:val="001E6D54"/>
    <w:rsid w:val="00201564"/>
    <w:rsid w:val="00232FA6"/>
    <w:rsid w:val="00243E20"/>
    <w:rsid w:val="00255E6F"/>
    <w:rsid w:val="0026079D"/>
    <w:rsid w:val="00276E88"/>
    <w:rsid w:val="002815D3"/>
    <w:rsid w:val="00284A8D"/>
    <w:rsid w:val="00284E66"/>
    <w:rsid w:val="00292348"/>
    <w:rsid w:val="002A0303"/>
    <w:rsid w:val="002A60C0"/>
    <w:rsid w:val="002C3AFA"/>
    <w:rsid w:val="002D0A4D"/>
    <w:rsid w:val="002D2620"/>
    <w:rsid w:val="002D71FB"/>
    <w:rsid w:val="003042B2"/>
    <w:rsid w:val="0031619C"/>
    <w:rsid w:val="00323C17"/>
    <w:rsid w:val="00340E92"/>
    <w:rsid w:val="00342C40"/>
    <w:rsid w:val="00366E97"/>
    <w:rsid w:val="003C5781"/>
    <w:rsid w:val="003D6B3F"/>
    <w:rsid w:val="003F1A3E"/>
    <w:rsid w:val="003F2192"/>
    <w:rsid w:val="003F5FBA"/>
    <w:rsid w:val="00422644"/>
    <w:rsid w:val="0043291E"/>
    <w:rsid w:val="00433F47"/>
    <w:rsid w:val="00450E63"/>
    <w:rsid w:val="00452153"/>
    <w:rsid w:val="00452AE1"/>
    <w:rsid w:val="004634BD"/>
    <w:rsid w:val="00494EC8"/>
    <w:rsid w:val="004A5606"/>
    <w:rsid w:val="004B629E"/>
    <w:rsid w:val="004C23C4"/>
    <w:rsid w:val="004D0EB4"/>
    <w:rsid w:val="004D132F"/>
    <w:rsid w:val="004D6D99"/>
    <w:rsid w:val="004E2C4B"/>
    <w:rsid w:val="004E48AC"/>
    <w:rsid w:val="00531C56"/>
    <w:rsid w:val="0053744B"/>
    <w:rsid w:val="00566940"/>
    <w:rsid w:val="00571210"/>
    <w:rsid w:val="0057217F"/>
    <w:rsid w:val="005763B3"/>
    <w:rsid w:val="005766B9"/>
    <w:rsid w:val="0057741A"/>
    <w:rsid w:val="00593ADB"/>
    <w:rsid w:val="005973E2"/>
    <w:rsid w:val="005A6E51"/>
    <w:rsid w:val="005C34C9"/>
    <w:rsid w:val="005F09F5"/>
    <w:rsid w:val="005F60D9"/>
    <w:rsid w:val="00604DC0"/>
    <w:rsid w:val="00611801"/>
    <w:rsid w:val="00636F12"/>
    <w:rsid w:val="006421CE"/>
    <w:rsid w:val="0064774E"/>
    <w:rsid w:val="006626F9"/>
    <w:rsid w:val="00663491"/>
    <w:rsid w:val="006845D0"/>
    <w:rsid w:val="006C0744"/>
    <w:rsid w:val="006C4EB8"/>
    <w:rsid w:val="006C717E"/>
    <w:rsid w:val="006D354C"/>
    <w:rsid w:val="006E2E3F"/>
    <w:rsid w:val="006E6349"/>
    <w:rsid w:val="00712A23"/>
    <w:rsid w:val="00714428"/>
    <w:rsid w:val="007235F7"/>
    <w:rsid w:val="00732D01"/>
    <w:rsid w:val="00736BE1"/>
    <w:rsid w:val="007457A2"/>
    <w:rsid w:val="00745ADC"/>
    <w:rsid w:val="0074774A"/>
    <w:rsid w:val="00761CF1"/>
    <w:rsid w:val="007922C2"/>
    <w:rsid w:val="007D0007"/>
    <w:rsid w:val="007D2277"/>
    <w:rsid w:val="007E0AAD"/>
    <w:rsid w:val="007E0DFD"/>
    <w:rsid w:val="007E729F"/>
    <w:rsid w:val="00812DF0"/>
    <w:rsid w:val="0081687A"/>
    <w:rsid w:val="00836A8F"/>
    <w:rsid w:val="00861358"/>
    <w:rsid w:val="00881B5C"/>
    <w:rsid w:val="00891B27"/>
    <w:rsid w:val="00891EE0"/>
    <w:rsid w:val="008922C9"/>
    <w:rsid w:val="008B5B01"/>
    <w:rsid w:val="008C2F57"/>
    <w:rsid w:val="008D5836"/>
    <w:rsid w:val="008E39BC"/>
    <w:rsid w:val="008F59C3"/>
    <w:rsid w:val="00902252"/>
    <w:rsid w:val="0093368D"/>
    <w:rsid w:val="00952999"/>
    <w:rsid w:val="00955C48"/>
    <w:rsid w:val="009644FB"/>
    <w:rsid w:val="00993D23"/>
    <w:rsid w:val="009A35FE"/>
    <w:rsid w:val="009A632D"/>
    <w:rsid w:val="009B54FE"/>
    <w:rsid w:val="009C626B"/>
    <w:rsid w:val="009D535E"/>
    <w:rsid w:val="009E0D75"/>
    <w:rsid w:val="009F25C6"/>
    <w:rsid w:val="00A2447B"/>
    <w:rsid w:val="00A36056"/>
    <w:rsid w:val="00A366EF"/>
    <w:rsid w:val="00A37D40"/>
    <w:rsid w:val="00A432B0"/>
    <w:rsid w:val="00A753E5"/>
    <w:rsid w:val="00A808A4"/>
    <w:rsid w:val="00A82AA8"/>
    <w:rsid w:val="00A85F27"/>
    <w:rsid w:val="00A90135"/>
    <w:rsid w:val="00AA7FB4"/>
    <w:rsid w:val="00AB17C1"/>
    <w:rsid w:val="00AC2F1C"/>
    <w:rsid w:val="00AC4D71"/>
    <w:rsid w:val="00AD2868"/>
    <w:rsid w:val="00AD60C1"/>
    <w:rsid w:val="00AD79D6"/>
    <w:rsid w:val="00B202AC"/>
    <w:rsid w:val="00B22F9C"/>
    <w:rsid w:val="00B373BE"/>
    <w:rsid w:val="00B47007"/>
    <w:rsid w:val="00B53600"/>
    <w:rsid w:val="00B714D3"/>
    <w:rsid w:val="00B86570"/>
    <w:rsid w:val="00B8761D"/>
    <w:rsid w:val="00B94AE2"/>
    <w:rsid w:val="00BA45F2"/>
    <w:rsid w:val="00BB2502"/>
    <w:rsid w:val="00BB4818"/>
    <w:rsid w:val="00BE04C2"/>
    <w:rsid w:val="00BE3558"/>
    <w:rsid w:val="00BE7BE9"/>
    <w:rsid w:val="00C022C2"/>
    <w:rsid w:val="00C20CAF"/>
    <w:rsid w:val="00C219C1"/>
    <w:rsid w:val="00C26010"/>
    <w:rsid w:val="00C26D5D"/>
    <w:rsid w:val="00C2771B"/>
    <w:rsid w:val="00C304C2"/>
    <w:rsid w:val="00C527EE"/>
    <w:rsid w:val="00C562A9"/>
    <w:rsid w:val="00C6799E"/>
    <w:rsid w:val="00C733A3"/>
    <w:rsid w:val="00C76675"/>
    <w:rsid w:val="00C871B3"/>
    <w:rsid w:val="00C965F5"/>
    <w:rsid w:val="00CA4319"/>
    <w:rsid w:val="00CC0659"/>
    <w:rsid w:val="00CC4517"/>
    <w:rsid w:val="00CD04BB"/>
    <w:rsid w:val="00CE7832"/>
    <w:rsid w:val="00D168B3"/>
    <w:rsid w:val="00D2792D"/>
    <w:rsid w:val="00D34322"/>
    <w:rsid w:val="00D4338E"/>
    <w:rsid w:val="00D547A7"/>
    <w:rsid w:val="00D554B4"/>
    <w:rsid w:val="00D61CEF"/>
    <w:rsid w:val="00D62FF9"/>
    <w:rsid w:val="00D64789"/>
    <w:rsid w:val="00D7465B"/>
    <w:rsid w:val="00D861CF"/>
    <w:rsid w:val="00DA6C42"/>
    <w:rsid w:val="00DB6956"/>
    <w:rsid w:val="00DD1DD7"/>
    <w:rsid w:val="00DF0D96"/>
    <w:rsid w:val="00E02E30"/>
    <w:rsid w:val="00E109B0"/>
    <w:rsid w:val="00E26ECB"/>
    <w:rsid w:val="00E57DED"/>
    <w:rsid w:val="00E8423F"/>
    <w:rsid w:val="00E8468D"/>
    <w:rsid w:val="00E858AF"/>
    <w:rsid w:val="00E871B9"/>
    <w:rsid w:val="00EA7ABF"/>
    <w:rsid w:val="00EA7F7F"/>
    <w:rsid w:val="00EB78AB"/>
    <w:rsid w:val="00EC1809"/>
    <w:rsid w:val="00EF0930"/>
    <w:rsid w:val="00EF202A"/>
    <w:rsid w:val="00EF5009"/>
    <w:rsid w:val="00F16614"/>
    <w:rsid w:val="00F22B5F"/>
    <w:rsid w:val="00F23800"/>
    <w:rsid w:val="00F338C5"/>
    <w:rsid w:val="00F402A8"/>
    <w:rsid w:val="00F54191"/>
    <w:rsid w:val="00F677E9"/>
    <w:rsid w:val="00FB1193"/>
    <w:rsid w:val="00FB2CB1"/>
    <w:rsid w:val="00FB630B"/>
    <w:rsid w:val="00FB70D2"/>
    <w:rsid w:val="00FC6044"/>
    <w:rsid w:val="00FD7AAE"/>
    <w:rsid w:val="00FF367A"/>
    <w:rsid w:val="00FF743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76F14"/>
  <w15:docId w15:val="{7EAC73F9-7A21-46AB-BEB1-EDBB64182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F09F5"/>
    <w:pPr>
      <w:spacing w:after="0" w:line="240" w:lineRule="auto"/>
    </w:pPr>
    <w:rPr>
      <w:rFonts w:ascii="Cambria" w:eastAsia="MS Mincho" w:hAnsi="Cambria" w:cs="Times New Roman"/>
      <w:sz w:val="24"/>
      <w:szCs w:val="24"/>
      <w:lang w:val="es-ES_tradnl" w:eastAsia="es-ES"/>
    </w:rPr>
  </w:style>
  <w:style w:type="paragraph" w:styleId="Ttulo1">
    <w:name w:val="heading 1"/>
    <w:basedOn w:val="Normal"/>
    <w:link w:val="Ttulo1Car"/>
    <w:uiPriority w:val="9"/>
    <w:qFormat/>
    <w:rsid w:val="00C26010"/>
    <w:pPr>
      <w:widowControl w:val="0"/>
      <w:autoSpaceDE w:val="0"/>
      <w:autoSpaceDN w:val="0"/>
      <w:ind w:left="180"/>
      <w:outlineLvl w:val="0"/>
    </w:pPr>
    <w:rPr>
      <w:rFonts w:ascii="Tahoma" w:eastAsia="Tahoma" w:hAnsi="Tahoma" w:cs="Tahoma"/>
      <w:b/>
      <w:bCs/>
      <w:lang w:val="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F09F5"/>
    <w:pPr>
      <w:tabs>
        <w:tab w:val="center" w:pos="4419"/>
        <w:tab w:val="right" w:pos="8838"/>
      </w:tabs>
    </w:pPr>
  </w:style>
  <w:style w:type="character" w:customStyle="1" w:styleId="EncabezadoCar">
    <w:name w:val="Encabezado Car"/>
    <w:basedOn w:val="Fuentedeprrafopredeter"/>
    <w:link w:val="Encabezado"/>
    <w:uiPriority w:val="99"/>
    <w:rsid w:val="005F09F5"/>
    <w:rPr>
      <w:rFonts w:ascii="Cambria" w:eastAsia="MS Mincho" w:hAnsi="Cambria" w:cs="Times New Roman"/>
      <w:sz w:val="24"/>
      <w:szCs w:val="24"/>
      <w:lang w:val="es-ES_tradnl" w:eastAsia="es-ES"/>
    </w:rPr>
  </w:style>
  <w:style w:type="paragraph" w:styleId="Piedepgina">
    <w:name w:val="footer"/>
    <w:basedOn w:val="Normal"/>
    <w:link w:val="PiedepginaCar"/>
    <w:uiPriority w:val="99"/>
    <w:unhideWhenUsed/>
    <w:rsid w:val="005F09F5"/>
    <w:pPr>
      <w:tabs>
        <w:tab w:val="center" w:pos="4419"/>
        <w:tab w:val="right" w:pos="8838"/>
      </w:tabs>
    </w:pPr>
  </w:style>
  <w:style w:type="character" w:customStyle="1" w:styleId="PiedepginaCar">
    <w:name w:val="Pie de página Car"/>
    <w:basedOn w:val="Fuentedeprrafopredeter"/>
    <w:link w:val="Piedepgina"/>
    <w:uiPriority w:val="99"/>
    <w:rsid w:val="005F09F5"/>
    <w:rPr>
      <w:rFonts w:ascii="Cambria" w:eastAsia="MS Mincho" w:hAnsi="Cambria" w:cs="Times New Roman"/>
      <w:sz w:val="24"/>
      <w:szCs w:val="24"/>
      <w:lang w:val="es-ES_tradnl" w:eastAsia="es-ES"/>
    </w:rPr>
  </w:style>
  <w:style w:type="paragraph" w:styleId="Prrafodelista">
    <w:name w:val="List Paragraph"/>
    <w:basedOn w:val="Normal"/>
    <w:uiPriority w:val="34"/>
    <w:qFormat/>
    <w:rsid w:val="002815D3"/>
    <w:pPr>
      <w:ind w:left="720"/>
      <w:contextualSpacing/>
    </w:pPr>
  </w:style>
  <w:style w:type="paragraph" w:styleId="Textodeglobo">
    <w:name w:val="Balloon Text"/>
    <w:basedOn w:val="Normal"/>
    <w:link w:val="TextodegloboCar"/>
    <w:uiPriority w:val="99"/>
    <w:semiHidden/>
    <w:unhideWhenUsed/>
    <w:rsid w:val="006E2E3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E2E3F"/>
    <w:rPr>
      <w:rFonts w:ascii="Segoe UI" w:eastAsia="MS Mincho" w:hAnsi="Segoe UI" w:cs="Segoe UI"/>
      <w:sz w:val="18"/>
      <w:szCs w:val="18"/>
      <w:lang w:val="es-ES_tradnl" w:eastAsia="es-ES"/>
    </w:rPr>
  </w:style>
  <w:style w:type="table" w:styleId="Tablaconcuadrcula">
    <w:name w:val="Table Grid"/>
    <w:basedOn w:val="Tablanormal"/>
    <w:uiPriority w:val="39"/>
    <w:rsid w:val="007D0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E109B0"/>
    <w:pPr>
      <w:spacing w:after="0" w:line="240" w:lineRule="auto"/>
    </w:pPr>
    <w:rPr>
      <w:rFonts w:ascii="Cambria" w:eastAsia="MS Mincho" w:hAnsi="Cambria" w:cs="Times New Roman"/>
      <w:sz w:val="24"/>
      <w:szCs w:val="24"/>
      <w:lang w:val="es-ES_tradnl" w:eastAsia="es-ES"/>
    </w:rPr>
  </w:style>
  <w:style w:type="character" w:customStyle="1" w:styleId="Ttulo1Car">
    <w:name w:val="Título 1 Car"/>
    <w:basedOn w:val="Fuentedeprrafopredeter"/>
    <w:link w:val="Ttulo1"/>
    <w:uiPriority w:val="9"/>
    <w:rsid w:val="00C26010"/>
    <w:rPr>
      <w:rFonts w:ascii="Tahoma" w:eastAsia="Tahoma" w:hAnsi="Tahoma" w:cs="Tahoma"/>
      <w:b/>
      <w:bCs/>
      <w:sz w:val="24"/>
      <w:szCs w:val="24"/>
      <w:lang w:val="es-ES" w:eastAsia="es-ES" w:bidi="es-ES"/>
    </w:rPr>
  </w:style>
  <w:style w:type="paragraph" w:styleId="Textoindependiente">
    <w:name w:val="Body Text"/>
    <w:basedOn w:val="Normal"/>
    <w:link w:val="TextoindependienteCar"/>
    <w:uiPriority w:val="1"/>
    <w:qFormat/>
    <w:rsid w:val="00C26010"/>
    <w:pPr>
      <w:widowControl w:val="0"/>
      <w:autoSpaceDE w:val="0"/>
      <w:autoSpaceDN w:val="0"/>
    </w:pPr>
    <w:rPr>
      <w:rFonts w:ascii="Tahoma" w:eastAsia="Tahoma" w:hAnsi="Tahoma" w:cs="Tahoma"/>
      <w:lang w:val="es-ES" w:bidi="es-ES"/>
    </w:rPr>
  </w:style>
  <w:style w:type="character" w:customStyle="1" w:styleId="TextoindependienteCar">
    <w:name w:val="Texto independiente Car"/>
    <w:basedOn w:val="Fuentedeprrafopredeter"/>
    <w:link w:val="Textoindependiente"/>
    <w:uiPriority w:val="1"/>
    <w:rsid w:val="00C26010"/>
    <w:rPr>
      <w:rFonts w:ascii="Tahoma" w:eastAsia="Tahoma" w:hAnsi="Tahoma" w:cs="Tahoma"/>
      <w:sz w:val="24"/>
      <w:szCs w:val="24"/>
      <w:lang w:val="es-ES" w:eastAsia="es-ES" w:bidi="es-ES"/>
    </w:rPr>
  </w:style>
  <w:style w:type="paragraph" w:styleId="NormalWeb">
    <w:name w:val="Normal (Web)"/>
    <w:basedOn w:val="Normal"/>
    <w:uiPriority w:val="99"/>
    <w:unhideWhenUsed/>
    <w:rsid w:val="00812DF0"/>
    <w:pPr>
      <w:spacing w:before="100" w:beforeAutospacing="1" w:after="100" w:afterAutospacing="1"/>
    </w:pPr>
    <w:rPr>
      <w:rFonts w:ascii="Times New Roman" w:eastAsia="Times New Roman" w:hAnsi="Times New Roman"/>
      <w:lang w:val="es-CO" w:eastAsia="es-CO"/>
    </w:rPr>
  </w:style>
  <w:style w:type="character" w:styleId="Textoennegrita">
    <w:name w:val="Strong"/>
    <w:basedOn w:val="Fuentedeprrafopredeter"/>
    <w:uiPriority w:val="22"/>
    <w:qFormat/>
    <w:rsid w:val="00812D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808140">
      <w:bodyDiv w:val="1"/>
      <w:marLeft w:val="0"/>
      <w:marRight w:val="0"/>
      <w:marTop w:val="0"/>
      <w:marBottom w:val="0"/>
      <w:divBdr>
        <w:top w:val="none" w:sz="0" w:space="0" w:color="auto"/>
        <w:left w:val="none" w:sz="0" w:space="0" w:color="auto"/>
        <w:bottom w:val="none" w:sz="0" w:space="0" w:color="auto"/>
        <w:right w:val="none" w:sz="0" w:space="0" w:color="auto"/>
      </w:divBdr>
    </w:div>
    <w:div w:id="604849842">
      <w:bodyDiv w:val="1"/>
      <w:marLeft w:val="0"/>
      <w:marRight w:val="0"/>
      <w:marTop w:val="0"/>
      <w:marBottom w:val="0"/>
      <w:divBdr>
        <w:top w:val="none" w:sz="0" w:space="0" w:color="auto"/>
        <w:left w:val="none" w:sz="0" w:space="0" w:color="auto"/>
        <w:bottom w:val="none" w:sz="0" w:space="0" w:color="auto"/>
        <w:right w:val="none" w:sz="0" w:space="0" w:color="auto"/>
      </w:divBdr>
    </w:div>
    <w:div w:id="896940658">
      <w:bodyDiv w:val="1"/>
      <w:marLeft w:val="0"/>
      <w:marRight w:val="0"/>
      <w:marTop w:val="0"/>
      <w:marBottom w:val="0"/>
      <w:divBdr>
        <w:top w:val="none" w:sz="0" w:space="0" w:color="auto"/>
        <w:left w:val="none" w:sz="0" w:space="0" w:color="auto"/>
        <w:bottom w:val="none" w:sz="0" w:space="0" w:color="auto"/>
        <w:right w:val="none" w:sz="0" w:space="0" w:color="auto"/>
      </w:divBdr>
    </w:div>
    <w:div w:id="1028944529">
      <w:bodyDiv w:val="1"/>
      <w:marLeft w:val="0"/>
      <w:marRight w:val="0"/>
      <w:marTop w:val="0"/>
      <w:marBottom w:val="0"/>
      <w:divBdr>
        <w:top w:val="none" w:sz="0" w:space="0" w:color="auto"/>
        <w:left w:val="none" w:sz="0" w:space="0" w:color="auto"/>
        <w:bottom w:val="none" w:sz="0" w:space="0" w:color="auto"/>
        <w:right w:val="none" w:sz="0" w:space="0" w:color="auto"/>
      </w:divBdr>
    </w:div>
    <w:div w:id="1030301088">
      <w:bodyDiv w:val="1"/>
      <w:marLeft w:val="0"/>
      <w:marRight w:val="0"/>
      <w:marTop w:val="0"/>
      <w:marBottom w:val="0"/>
      <w:divBdr>
        <w:top w:val="none" w:sz="0" w:space="0" w:color="auto"/>
        <w:left w:val="none" w:sz="0" w:space="0" w:color="auto"/>
        <w:bottom w:val="none" w:sz="0" w:space="0" w:color="auto"/>
        <w:right w:val="none" w:sz="0" w:space="0" w:color="auto"/>
      </w:divBdr>
    </w:div>
    <w:div w:id="1423598645">
      <w:bodyDiv w:val="1"/>
      <w:marLeft w:val="0"/>
      <w:marRight w:val="0"/>
      <w:marTop w:val="0"/>
      <w:marBottom w:val="0"/>
      <w:divBdr>
        <w:top w:val="none" w:sz="0" w:space="0" w:color="auto"/>
        <w:left w:val="none" w:sz="0" w:space="0" w:color="auto"/>
        <w:bottom w:val="none" w:sz="0" w:space="0" w:color="auto"/>
        <w:right w:val="none" w:sz="0" w:space="0" w:color="auto"/>
      </w:divBdr>
    </w:div>
    <w:div w:id="1473988418">
      <w:bodyDiv w:val="1"/>
      <w:marLeft w:val="0"/>
      <w:marRight w:val="0"/>
      <w:marTop w:val="0"/>
      <w:marBottom w:val="0"/>
      <w:divBdr>
        <w:top w:val="none" w:sz="0" w:space="0" w:color="auto"/>
        <w:left w:val="none" w:sz="0" w:space="0" w:color="auto"/>
        <w:bottom w:val="none" w:sz="0" w:space="0" w:color="auto"/>
        <w:right w:val="none" w:sz="0" w:space="0" w:color="auto"/>
      </w:divBdr>
    </w:div>
    <w:div w:id="180993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15931F-42C5-458D-851B-1E8DF8A3E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TotalTime>
  <Pages>4</Pages>
  <Words>1300</Words>
  <Characters>7151</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EMPLEO</dc:creator>
  <cp:keywords/>
  <dc:description/>
  <cp:lastModifiedBy>CONTROL_INT</cp:lastModifiedBy>
  <cp:revision>21</cp:revision>
  <cp:lastPrinted>2019-10-23T15:55:00Z</cp:lastPrinted>
  <dcterms:created xsi:type="dcterms:W3CDTF">2019-10-17T16:45:00Z</dcterms:created>
  <dcterms:modified xsi:type="dcterms:W3CDTF">2019-10-23T16:03:00Z</dcterms:modified>
</cp:coreProperties>
</file>